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760" w:hanging="435"/>
        <w:spacing w:after="0"/>
        <w:tabs>
          <w:tab w:leader="none" w:pos="76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2013</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760" w:right="160" w:hanging="435"/>
        <w:spacing w:after="0" w:line="256" w:lineRule="auto"/>
        <w:tabs>
          <w:tab w:leader="none" w:pos="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172085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jc w:val="center"/>
              <w:ind w:left="832"/>
              <w:spacing w:after="0"/>
              <w:rPr>
                <w:sz w:val="20"/>
                <w:szCs w:val="20"/>
                <w:color w:val="auto"/>
              </w:rPr>
            </w:pPr>
            <w:r>
              <w:rPr>
                <w:rFonts w:ascii="Arial" w:cs="Arial" w:eastAsia="Arial" w:hAnsi="Arial"/>
                <w:sz w:val="18"/>
                <w:szCs w:val="18"/>
                <w:b w:val="1"/>
                <w:bCs w:val="1"/>
                <w:color w:val="auto"/>
                <w:w w:val="97"/>
              </w:rPr>
              <w:t>Maine</w:t>
            </w:r>
          </w:p>
        </w:tc>
        <w:tc>
          <w:tcPr>
            <w:tcW w:w="6720" w:type="dxa"/>
            <w:vAlign w:val="bottom"/>
            <w:gridSpan w:val="3"/>
          </w:tcPr>
          <w:p>
            <w:pPr>
              <w:jc w:val="right"/>
              <w:ind w:right="2274"/>
              <w:spacing w:after="0"/>
              <w:rPr>
                <w:sz w:val="20"/>
                <w:szCs w:val="20"/>
                <w:color w:val="auto"/>
              </w:rPr>
            </w:pPr>
            <w:r>
              <w:rPr>
                <w:rFonts w:ascii="Arial" w:cs="Arial" w:eastAsia="Arial" w:hAnsi="Arial"/>
                <w:sz w:val="18"/>
                <w:szCs w:val="18"/>
                <w:b w:val="1"/>
                <w:bCs w:val="1"/>
                <w:color w:val="auto"/>
              </w:rPr>
              <w:t>01-0425066</w:t>
            </w:r>
          </w:p>
        </w:tc>
      </w:tr>
      <w:tr>
        <w:trPr>
          <w:trHeight w:val="216"/>
        </w:trPr>
        <w:tc>
          <w:tcPr>
            <w:tcW w:w="4700" w:type="dxa"/>
            <w:vAlign w:val="bottom"/>
          </w:tcPr>
          <w:p>
            <w:pPr>
              <w:jc w:val="center"/>
              <w:ind w:left="832"/>
              <w:spacing w:after="0"/>
              <w:rPr>
                <w:sz w:val="20"/>
                <w:szCs w:val="20"/>
                <w:color w:val="auto"/>
              </w:rPr>
            </w:pPr>
            <w:r>
              <w:rPr>
                <w:rFonts w:ascii="Arial" w:cs="Arial" w:eastAsia="Arial" w:hAnsi="Arial"/>
                <w:sz w:val="18"/>
                <w:szCs w:val="18"/>
                <w:color w:val="auto"/>
                <w:w w:val="93"/>
              </w:rPr>
              <w:t>(State or other jurisdiction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left="832"/>
              <w:spacing w:after="0"/>
              <w:rPr>
                <w:sz w:val="20"/>
                <w:szCs w:val="20"/>
                <w:color w:val="auto"/>
              </w:rPr>
            </w:pPr>
            <w:r>
              <w:rPr>
                <w:rFonts w:ascii="Arial" w:cs="Arial" w:eastAsia="Arial" w:hAnsi="Arial"/>
                <w:sz w:val="18"/>
                <w:szCs w:val="18"/>
                <w:color w:val="auto"/>
                <w:w w:val="93"/>
              </w:rPr>
              <w:t>incorporation or organization)</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37"/>
        </w:trPr>
        <w:tc>
          <w:tcPr>
            <w:tcW w:w="4700" w:type="dxa"/>
            <w:vAlign w:val="bottom"/>
          </w:tcPr>
          <w:p>
            <w:pPr>
              <w:jc w:val="center"/>
              <w:ind w:left="832"/>
              <w:spacing w:after="0"/>
              <w:rPr>
                <w:sz w:val="20"/>
                <w:szCs w:val="20"/>
                <w:color w:val="auto"/>
              </w:rPr>
            </w:pPr>
            <w:r>
              <w:rPr>
                <w:rFonts w:ascii="Arial" w:cs="Arial" w:eastAsia="Arial" w:hAnsi="Arial"/>
                <w:sz w:val="18"/>
                <w:szCs w:val="18"/>
                <w:b w:val="1"/>
                <w:bCs w:val="1"/>
                <w:color w:val="auto"/>
                <w:w w:val="91"/>
              </w:rPr>
              <w:t>500 Canal Street, Lewiston, Maine</w:t>
            </w:r>
          </w:p>
        </w:tc>
        <w:tc>
          <w:tcPr>
            <w:tcW w:w="6720" w:type="dxa"/>
            <w:vAlign w:val="bottom"/>
            <w:gridSpan w:val="3"/>
          </w:tcPr>
          <w:p>
            <w:pPr>
              <w:jc w:val="right"/>
              <w:ind w:right="2494"/>
              <w:spacing w:after="0"/>
              <w:rPr>
                <w:sz w:val="20"/>
                <w:szCs w:val="20"/>
                <w:color w:val="auto"/>
              </w:rPr>
            </w:pPr>
            <w:r>
              <w:rPr>
                <w:rFonts w:ascii="Arial" w:cs="Arial" w:eastAsia="Arial" w:hAnsi="Arial"/>
                <w:sz w:val="18"/>
                <w:szCs w:val="18"/>
                <w:b w:val="1"/>
                <w:bCs w:val="1"/>
                <w:color w:val="auto"/>
              </w:rPr>
              <w:t>04240</w:t>
            </w:r>
          </w:p>
        </w:tc>
      </w:tr>
      <w:tr>
        <w:trPr>
          <w:trHeight w:val="230"/>
        </w:trPr>
        <w:tc>
          <w:tcPr>
            <w:tcW w:w="4700" w:type="dxa"/>
            <w:vAlign w:val="bottom"/>
          </w:tcPr>
          <w:p>
            <w:pPr>
              <w:jc w:val="center"/>
              <w:ind w:left="832"/>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33"/>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34"/>
        </w:trPr>
        <w:tc>
          <w:tcPr>
            <w:tcW w:w="4700" w:type="dxa"/>
            <w:vAlign w:val="bottom"/>
          </w:tcPr>
          <w:p>
            <w:pPr>
              <w:spacing w:after="0"/>
              <w:rPr>
                <w:sz w:val="20"/>
                <w:szCs w:val="20"/>
                <w:color w:val="auto"/>
              </w:rPr>
            </w:pPr>
          </w:p>
        </w:tc>
        <w:tc>
          <w:tcPr>
            <w:tcW w:w="6720" w:type="dxa"/>
            <w:vAlign w:val="bottom"/>
            <w:gridSpan w:val="3"/>
          </w:tcPr>
          <w:p>
            <w:pPr>
              <w:jc w:val="center"/>
              <w:ind w:right="4594"/>
              <w:spacing w:after="0"/>
              <w:rPr>
                <w:sz w:val="20"/>
                <w:szCs w:val="20"/>
                <w:color w:val="auto"/>
              </w:rPr>
            </w:pPr>
            <w:r>
              <w:rPr>
                <w:rFonts w:ascii="Arial" w:cs="Arial" w:eastAsia="Arial" w:hAnsi="Arial"/>
                <w:sz w:val="18"/>
                <w:szCs w:val="18"/>
                <w:b w:val="1"/>
                <w:bCs w:val="1"/>
                <w:color w:val="auto"/>
                <w:w w:val="90"/>
              </w:rPr>
              <w:t>(207) 786-3245</w:t>
            </w:r>
          </w:p>
        </w:tc>
      </w:tr>
      <w:tr>
        <w:trPr>
          <w:trHeight w:val="351"/>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84"/>
        </w:trPr>
        <w:tc>
          <w:tcPr>
            <w:tcW w:w="4700" w:type="dxa"/>
            <w:vAlign w:val="bottom"/>
            <w:tcBorders>
              <w:bottom w:val="single" w:sz="8" w:color="auto"/>
            </w:tcBorders>
          </w:tcPr>
          <w:p>
            <w:pPr>
              <w:jc w:val="center"/>
              <w:ind w:left="832"/>
              <w:spacing w:after="0"/>
              <w:rPr>
                <w:sz w:val="20"/>
                <w:szCs w:val="20"/>
                <w:color w:val="auto"/>
              </w:rPr>
            </w:pPr>
            <w:r>
              <w:rPr>
                <w:rFonts w:ascii="Arial" w:cs="Arial" w:eastAsia="Arial" w:hAnsi="Arial"/>
                <w:sz w:val="14"/>
                <w:szCs w:val="14"/>
                <w:b w:val="1"/>
                <w:bCs w:val="1"/>
                <w:color w:val="auto"/>
                <w:w w:val="90"/>
              </w:rPr>
              <w:t>Title of each class:</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700" w:type="dxa"/>
            <w:vAlign w:val="bottom"/>
          </w:tcPr>
          <w:p>
            <w:pPr>
              <w:jc w:val="center"/>
              <w:ind w:left="832"/>
              <w:spacing w:after="0"/>
              <w:rPr>
                <w:sz w:val="20"/>
                <w:szCs w:val="20"/>
                <w:color w:val="auto"/>
              </w:rPr>
            </w:pPr>
            <w:r>
              <w:rPr>
                <w:rFonts w:ascii="Arial" w:cs="Arial" w:eastAsia="Arial" w:hAnsi="Arial"/>
                <w:sz w:val="18"/>
                <w:szCs w:val="18"/>
                <w:color w:val="auto"/>
                <w:w w:val="91"/>
              </w:rPr>
              <w:t>Voting Common Stock, $1.00 par value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1920"/>
        <w:spacing w:after="0" w:line="458"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00"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0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39" w:gutter="0" w:footer="0" w:header="0"/>
        </w:sectPr>
      </w:pP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1700" w:space="680"/>
            <w:col w:w="5180" w:space="720"/>
            <w:col w:w="2340" w:space="720"/>
            <w:col w:w="80"/>
          </w:cols>
          <w:pgMar w:left="240" w:top="233" w:right="239" w:bottom="139"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67" w:lineRule="exact"/>
        <w:rPr>
          <w:sz w:val="24"/>
          <w:szCs w:val="24"/>
          <w:color w:val="auto"/>
        </w:rPr>
      </w:pPr>
    </w:p>
    <w:p>
      <w:pPr>
        <w:sectPr>
          <w:pgSz w:w="11900" w:h="16838" w:orient="portrait"/>
          <w:cols w:equalWidth="0" w:num="4">
            <w:col w:w="1660" w:space="720"/>
            <w:col w:w="5180" w:space="720"/>
            <w:col w:w="2340" w:space="720"/>
            <w:col w:w="80"/>
          </w:cols>
          <w:pgMar w:left="240" w:top="233" w:right="239" w:bottom="139"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44"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color w:val="auto"/>
        </w:rPr>
        <w:t>The aggregate market value of the registrant’s voting and non-voting common stock held by non-affiliates, computed by reference to the last reported sales price of the registrant’s voting common stock on the NASDAQ Global Market on December 31, 2012 was approximately $65,996,772.</w:t>
      </w:r>
    </w:p>
    <w:p>
      <w:pPr>
        <w:spacing w:after="0" w:line="6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As of September 16, 2013, the registrant had outstanding 9,552,587 shares of voting common stock, $1.00 par value per share, and 880,963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33" w:right="239" w:bottom="139"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Portions of the registrant’s proxy statement for the 2013 Annual Meeting of Shareholders to be held on November 21, 2013 are incorporated by reference in Items 10, 11, 12, 13 and 14 of Part III of this Annual Report on Form 10-K. The registrant intends to file such proxy statement with the Securities and Exchange Commission no later than 120 days after the end of its fiscal year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302260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53"/>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gridSpan w:val="8"/>
          </w:tcPr>
          <w:p>
            <w:pPr>
              <w:jc w:val="center"/>
              <w:ind w:right="3880"/>
              <w:spacing w:after="0"/>
              <w:rPr>
                <w:sz w:val="20"/>
                <w:szCs w:val="20"/>
                <w:color w:val="auto"/>
              </w:rPr>
            </w:pPr>
            <w:r>
              <w:rPr>
                <w:rFonts w:ascii="Arial" w:cs="Arial" w:eastAsia="Arial" w:hAnsi="Arial"/>
                <w:sz w:val="18"/>
                <w:szCs w:val="18"/>
                <w:color w:val="auto"/>
                <w:w w:val="90"/>
              </w:rPr>
              <w:t>Table of Contents</w:t>
            </w:r>
          </w:p>
        </w:tc>
        <w:tc>
          <w:tcPr>
            <w:tcW w:w="880" w:type="dxa"/>
            <w:vAlign w:val="bottom"/>
          </w:tcPr>
          <w:p>
            <w:pPr>
              <w:spacing w:after="0"/>
              <w:rPr>
                <w:sz w:val="24"/>
                <w:szCs w:val="24"/>
                <w:color w:val="auto"/>
              </w:rPr>
            </w:pPr>
          </w:p>
        </w:tc>
      </w:tr>
      <w:tr>
        <w:trPr>
          <w:trHeight w:val="392"/>
        </w:trPr>
        <w:tc>
          <w:tcPr>
            <w:tcW w:w="150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260" w:type="dxa"/>
            <w:vAlign w:val="bottom"/>
            <w:gridSpan w:val="3"/>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EE"/>
                <w:w w:val="80"/>
              </w:rPr>
            </w:pPr>
            <w:hyperlink w:anchor="page14">
              <w:r>
                <w:rPr>
                  <w:rFonts w:ascii="Arial" w:cs="Arial" w:eastAsia="Arial" w:hAnsi="Arial"/>
                  <w:sz w:val="18"/>
                  <w:szCs w:val="18"/>
                  <w:color w:val="0000EE"/>
                  <w:w w:val="80"/>
                </w:rPr>
                <w:t>Item 1A.</w:t>
              </w:r>
            </w:hyperlink>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EE"/>
                <w:w w:val="80"/>
              </w:rPr>
            </w:pPr>
            <w:hyperlink w:anchor="page19">
              <w:r>
                <w:rPr>
                  <w:rFonts w:ascii="Arial" w:cs="Arial" w:eastAsia="Arial" w:hAnsi="Arial"/>
                  <w:sz w:val="18"/>
                  <w:szCs w:val="18"/>
                  <w:color w:val="0000EE"/>
                  <w:w w:val="80"/>
                </w:rPr>
                <w:t>Item 1B.</w:t>
              </w:r>
            </w:hyperlink>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Item 2.</w:t>
              </w:r>
            </w:hyperlink>
          </w:p>
        </w:tc>
        <w:tc>
          <w:tcPr>
            <w:tcW w:w="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Item 3.</w:t>
              </w:r>
            </w:hyperlink>
          </w:p>
        </w:tc>
        <w:tc>
          <w:tcPr>
            <w:tcW w:w="260" w:type="dxa"/>
            <w:vAlign w:val="bottom"/>
            <w:gridSpan w:val="3"/>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Item 4.</w:t>
              </w:r>
            </w:hyperlink>
          </w:p>
        </w:tc>
        <w:tc>
          <w:tcPr>
            <w:tcW w:w="260" w:type="dxa"/>
            <w:vAlign w:val="bottom"/>
            <w:gridSpan w:val="3"/>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74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500" w:type="dxa"/>
            <w:vAlign w:val="bottom"/>
            <w:tcBorders>
              <w:top w:val="single" w:sz="8" w:color="0000EE"/>
            </w:tcBorders>
            <w:gridSpan w:val="2"/>
          </w:tcPr>
          <w:p>
            <w:pPr>
              <w:spacing w:after="0"/>
              <w:rPr>
                <w:sz w:val="24"/>
                <w:szCs w:val="24"/>
                <w:color w:val="auto"/>
              </w:rPr>
            </w:pPr>
          </w:p>
        </w:tc>
        <w:tc>
          <w:tcPr>
            <w:tcW w:w="26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5.</w:t>
              </w:r>
            </w:hyperlink>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Market for Registrant’s Common Equity, Related Stockholder Matters and Issuer Purchases of Equity Securities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Item 6.</w:t>
              </w:r>
            </w:hyperlink>
          </w:p>
        </w:tc>
        <w:tc>
          <w:tcPr>
            <w:tcW w:w="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7.</w:t>
              </w:r>
            </w:hyperlink>
          </w:p>
        </w:tc>
        <w:tc>
          <w:tcPr>
            <w:tcW w:w="260" w:type="dxa"/>
            <w:vAlign w:val="bottom"/>
            <w:gridSpan w:val="3"/>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7A.</w:t>
              </w:r>
            </w:hyperlink>
          </w:p>
        </w:tc>
        <w:tc>
          <w:tcPr>
            <w:tcW w:w="9080" w:type="dxa"/>
            <w:vAlign w:val="bottom"/>
            <w:gridSpan w:val="20"/>
          </w:tcPr>
          <w:p>
            <w:pPr>
              <w:ind w:left="340"/>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8.</w:t>
              </w:r>
            </w:hyperlink>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Item 9.</w:t>
              </w:r>
            </w:hyperlink>
          </w:p>
        </w:tc>
        <w:tc>
          <w:tcPr>
            <w:tcW w:w="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4"/>
          </w:tcPr>
          <w:p>
            <w:pPr>
              <w:spacing w:after="0"/>
              <w:rPr>
                <w:rFonts w:ascii="Arial" w:cs="Arial" w:eastAsia="Arial" w:hAnsi="Arial"/>
                <w:sz w:val="18"/>
                <w:szCs w:val="18"/>
                <w:color w:val="0000EE"/>
                <w:w w:val="86"/>
              </w:rPr>
            </w:pPr>
            <w:hyperlink w:anchor="page68">
              <w:r>
                <w:rPr>
                  <w:rFonts w:ascii="Arial" w:cs="Arial" w:eastAsia="Arial" w:hAnsi="Arial"/>
                  <w:sz w:val="18"/>
                  <w:szCs w:val="18"/>
                  <w:color w:val="0000EE"/>
                  <w:w w:val="86"/>
                </w:rPr>
                <w:t>Item 9A</w:t>
              </w:r>
            </w:hyperlink>
          </w:p>
        </w:tc>
        <w:tc>
          <w:tcPr>
            <w:tcW w:w="180" w:type="dxa"/>
            <w:vAlign w:val="bottom"/>
          </w:tcPr>
          <w:p>
            <w:pPr>
              <w:spacing w:after="0"/>
              <w:rPr>
                <w:sz w:val="24"/>
                <w:szCs w:val="24"/>
                <w:color w:val="auto"/>
              </w:rPr>
            </w:pPr>
          </w:p>
        </w:tc>
        <w:tc>
          <w:tcPr>
            <w:tcW w:w="9080" w:type="dxa"/>
            <w:vAlign w:val="bottom"/>
            <w:gridSpan w:val="20"/>
          </w:tcPr>
          <w:p>
            <w:pPr>
              <w:ind w:left="340"/>
              <w:spacing w:after="0"/>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9.B</w:t>
              </w:r>
            </w:hyperlink>
          </w:p>
        </w:tc>
        <w:tc>
          <w:tcPr>
            <w:tcW w:w="9080" w:type="dxa"/>
            <w:vAlign w:val="bottom"/>
            <w:gridSpan w:val="20"/>
          </w:tcPr>
          <w:p>
            <w:pPr>
              <w:ind w:left="340"/>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12"/>
        </w:trPr>
        <w:tc>
          <w:tcPr>
            <w:tcW w:w="74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Part III</w:t>
              </w:r>
            </w:hyperlink>
          </w:p>
        </w:tc>
        <w:tc>
          <w:tcPr>
            <w:tcW w:w="580" w:type="dxa"/>
            <w:vAlign w:val="bottom"/>
            <w:tcBorders>
              <w:top w:val="single" w:sz="8" w:color="0000EE"/>
            </w:tcBorders>
            <w:gridSpan w:val="4"/>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10.</w:t>
              </w:r>
            </w:hyperlink>
          </w:p>
        </w:tc>
        <w:tc>
          <w:tcPr>
            <w:tcW w:w="9080" w:type="dxa"/>
            <w:vAlign w:val="bottom"/>
            <w:gridSpan w:val="20"/>
          </w:tcPr>
          <w:p>
            <w:pPr>
              <w:ind w:left="340"/>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11.</w:t>
              </w:r>
            </w:hyperlink>
          </w:p>
        </w:tc>
        <w:tc>
          <w:tcPr>
            <w:tcW w:w="9080" w:type="dxa"/>
            <w:vAlign w:val="bottom"/>
            <w:gridSpan w:val="20"/>
          </w:tcPr>
          <w:p>
            <w:pPr>
              <w:ind w:left="340"/>
              <w:spacing w:after="0"/>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12.</w:t>
              </w:r>
            </w:hyperlink>
          </w:p>
        </w:tc>
        <w:tc>
          <w:tcPr>
            <w:tcW w:w="9080" w:type="dxa"/>
            <w:vAlign w:val="bottom"/>
            <w:gridSpan w:val="20"/>
          </w:tcPr>
          <w:p>
            <w:pPr>
              <w:ind w:left="340"/>
              <w:spacing w:after="0"/>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 Stockholder Matters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13.</w:t>
              </w:r>
            </w:hyperlink>
          </w:p>
        </w:tc>
        <w:tc>
          <w:tcPr>
            <w:tcW w:w="9080" w:type="dxa"/>
            <w:vAlign w:val="bottom"/>
            <w:gridSpan w:val="20"/>
          </w:tcPr>
          <w:p>
            <w:pPr>
              <w:ind w:left="340"/>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14.</w:t>
              </w:r>
            </w:hyperlink>
          </w:p>
        </w:tc>
        <w:tc>
          <w:tcPr>
            <w:tcW w:w="9080" w:type="dxa"/>
            <w:vAlign w:val="bottom"/>
            <w:gridSpan w:val="20"/>
          </w:tcPr>
          <w:p>
            <w:pPr>
              <w:ind w:left="340"/>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2"/>
        </w:trPr>
        <w:tc>
          <w:tcPr>
            <w:tcW w:w="900" w:type="dxa"/>
            <w:vAlign w:val="bottom"/>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Part IV</w:t>
              </w:r>
            </w:hyperlink>
          </w:p>
        </w:tc>
        <w:tc>
          <w:tcPr>
            <w:tcW w:w="600" w:type="dxa"/>
            <w:vAlign w:val="bottom"/>
            <w:tcBorders>
              <w:top w:val="single" w:sz="8" w:color="0000EE"/>
            </w:tcBorders>
            <w:gridSpan w:val="4"/>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15.</w:t>
              </w:r>
            </w:hyperlink>
          </w:p>
        </w:tc>
        <w:tc>
          <w:tcPr>
            <w:tcW w:w="9080" w:type="dxa"/>
            <w:vAlign w:val="bottom"/>
            <w:gridSpan w:val="20"/>
          </w:tcPr>
          <w:p>
            <w:pPr>
              <w:ind w:left="340"/>
              <w:spacing w:after="0"/>
              <w:rPr>
                <w:rFonts w:ascii="Arial" w:cs="Arial" w:eastAsia="Arial" w:hAnsi="Arial"/>
                <w:sz w:val="18"/>
                <w:szCs w:val="18"/>
                <w:color w:val="0000EE"/>
              </w:rPr>
            </w:pPr>
            <w:hyperlink w:anchor="page69">
              <w:r>
                <w:rPr>
                  <w:rFonts w:ascii="Arial" w:cs="Arial" w:eastAsia="Arial" w:hAnsi="Arial"/>
                  <w:sz w:val="18"/>
                  <w:szCs w:val="18"/>
                  <w:color w:val="0000EE"/>
                </w:rPr>
                <w:t>Exhibits, Financial Statement Schedules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5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2"/>
        </w:trPr>
        <w:tc>
          <w:tcPr>
            <w:tcW w:w="4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Forward-Looking Statements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our financial condition, prospective results of operations, future performance or expectations, plans, objectives, prospects, loan loss allowance adequacy, simulation of changes in interest rates, capital spending, finance sources and revenue sources. These statements relate to expectations concerning matters that are not historical facts. Accordingly, statements that are based on management’s projections, estimates, assumptions, and judgments constitute forward-looking statements. These forward 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In</w:t>
      </w:r>
    </w:p>
    <w:p>
      <w:pPr>
        <w:sectPr>
          <w:pgSz w:w="11900" w:h="16838" w:orient="portrait"/>
          <w:cols w:equalWidth="0" w:num="1">
            <w:col w:w="11460"/>
          </w:cols>
          <w:pgMar w:left="240" w:top="121" w:right="199" w:bottom="0" w:gutter="0" w:footer="0" w:header="0"/>
        </w:sectPr>
      </w:pPr>
    </w:p>
    <w:bookmarkStart w:id="2" w:name="page3"/>
    <w:bookmarkEnd w:id="2"/>
    <w:p>
      <w:pPr>
        <w:ind w:right="420"/>
        <w:spacing w:after="0" w:line="342" w:lineRule="auto"/>
        <w:rPr>
          <w:sz w:val="20"/>
          <w:szCs w:val="20"/>
          <w:color w:val="auto"/>
        </w:rPr>
      </w:pPr>
      <w:r>
        <w:rPr>
          <w:rFonts w:ascii="Arial" w:cs="Arial" w:eastAsia="Arial" w:hAnsi="Arial"/>
          <w:sz w:val="16"/>
          <w:szCs w:val="16"/>
          <w:color w:val="auto"/>
        </w:rPr>
        <w:t>addition, the Company may from time to time make such oral or written “forward-looking statements” in future filings with the Securities and Exchange Commission (including exhibits thereto), in its reports to shareholders, and in other communications made by or with the approval of the Company.</w:t>
      </w:r>
    </w:p>
    <w:p>
      <w:pPr>
        <w:spacing w:after="0" w:line="12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Such forward-looking statements reflect our current views and expectations based largely on information currently available to our management, and on our current expectations, assumptions, plans, estimates, judgments, and projections about our business and our industry, and they involve inherent risks and uncertainties.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our expectations will in fact occur or that our estimates or assumptions will be correct. The Company cautions you that actual results could differ materially from those expressed or implied by such forward-looking statements as a result of, among other factors, the factors referenced in this report under Item 1A. “Risk Factors”; changes in interest rates; competitive pressures from other financial institutions; the effects of a continuing deterioration in general economic conditions on a national basis or in the local markets in which the Company operates, including changes which adversely affect borrowers’ ability to service and repay our loans; changes in loan defaults and charge-off rates; changes in the value of securities and other assets, adequacy of loan loss reserves, or deposit levels necessitating increased borrowing to fund loans and investments; increasing government regulation, such as the Dodd-Frank Wall Street Reform and Consumer Protection Act; the risk that we may not be successful in the implementation of our business strategy; the risk that intangibles recorded in the Company’s financial statements will become impaired; and changes in assumptions used in making such forward-looking statements.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Northeast Bancorp (“we,” “our,” “us,” “Northeast” or the “Company”), a Maine corporation chartered in April 1987, is a bank holding company registered with the Board of Governors of the Federal Reserve System (“Federal Reserve”) under the Bank Holding Company Act of 1956, as amended. The Company’s primary subsidiary and principal asset is its wholly-owned banking subsidiary, Northeast Bank (the “Bank” or “Northeast Bank”), which has ten banking branches. The Bank, which was originally organized in 1872 as a Maine-chartered mutual savings bank and was formerly known as Bethel Savings Bank F.S.B., is a Maine state-chartered bank and a member of the Federal Reserve System. As such, the Company and the Bank are currently subject to the regulatory oversight of the Federal Reserve and the State of Maine Bureau of Financial Institutions (the “Bureau”).</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6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of June 30, 2013, the Company, on a consolidated basis, had total assets of $670.6 million, total deposits of $484.6 million, and stockholders’ equity of $113.8 million. The Company gathers retail deposits through its Community Banking Division’s banking offices in Maine and through its online affinity deposit program, ableBanking; originates loans through its Community Banking Division; and purchases and originates commercial loans through its Loan Acquisition and Servicing Group. The Company operates the Community Banking Division, with ten full-service branches and six loan production offices, from the Bank’s headquarters in Lewiston, Maine. The Company operates ableBanking and the Loan Acquisition and Servicing Group from its offices in Boston, Massachusetts.</w:t>
      </w:r>
    </w:p>
    <w:p>
      <w:pPr>
        <w:spacing w:after="0" w:line="19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August of 2011, the Company sold the customer lists and certain other assets of its insurance agency division. Refer to Item 7. “Management’s Discussion and Analysis of Financial Condition and Results of Operations” for additional information on the sale of insurance assets in August 2011.</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May of 2012, the Company raised net proceeds of $52.7 million through the sale of shares of its common stock. Refer to Item 7. “Management’s Discussion and Analysis of Financial Condition and Results of Operations — Capital” for additional information on the common stock offering in May 2012.</w:t>
      </w:r>
    </w:p>
    <w:p>
      <w:pPr>
        <w:spacing w:after="0" w:line="12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the quarter ended December 31, 2012, the Company paid $4.2 million to redeem, at par value, all shares of preferred stock issued to the U.S. Department of the Treasury (the “UST”) under the Troubled Asset Relief Program (“TARP”) and repurchased the warrant for 67,958 shares of common stock issued to the UST in connection with TARP for $95 thousand.</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August of 2013, the Company announced its intention to exit the investment brokerage business. The Company expects that all investment brokerage activities will conclude in the first half of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ectPr>
          <w:pgSz w:w="11900" w:h="16838" w:orient="portrait"/>
          <w:cols w:equalWidth="0" w:num="1">
            <w:col w:w="11420"/>
          </w:cols>
          <w:pgMar w:left="240" w:top="125" w:right="239" w:bottom="0" w:gutter="0" w:footer="0" w:header="0"/>
        </w:sectPr>
      </w:pPr>
    </w:p>
    <w:bookmarkStart w:id="3" w:name="page4"/>
    <w:bookmarkEnd w:id="3"/>
    <w:p>
      <w:pPr>
        <w:spacing w:after="0" w:line="257" w:lineRule="auto"/>
        <w:rPr>
          <w:sz w:val="20"/>
          <w:szCs w:val="20"/>
          <w:color w:val="auto"/>
        </w:rPr>
      </w:pPr>
      <w:r>
        <w:rPr>
          <w:rFonts w:ascii="Arial" w:cs="Arial" w:eastAsia="Arial" w:hAnsi="Arial"/>
          <w:sz w:val="18"/>
          <w:szCs w:val="18"/>
          <w:i w:val="1"/>
          <w:iCs w:val="1"/>
          <w:color w:val="auto"/>
        </w:rPr>
        <w:t>Measured growth of the commercial loan portfolio</w:t>
      </w:r>
      <w:r>
        <w:rPr>
          <w:rFonts w:ascii="Arial" w:cs="Arial" w:eastAsia="Arial" w:hAnsi="Arial"/>
          <w:sz w:val="18"/>
          <w:szCs w:val="18"/>
          <w:color w:val="auto"/>
        </w:rPr>
        <w:t>. The Company’s Loan Acquisition and Servicing Group purchases performing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loans, on a nationwide basis, at a discount from their outstanding principal balances, producing yields higher than those normally achieved on our originated loan portfolio. Loans are purchased on a nationwide basis from a variety of sources, including banks, insurance companies, investment funds and government agencies, either directly or indirectly through a broker. To a lesser extent, this group also originates, on a nationwide basis, commercial real estate and commercial business loans.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Focus on core deposits</w:t>
      </w:r>
      <w:r>
        <w:rPr>
          <w:rFonts w:ascii="Arial" w:cs="Arial" w:eastAsia="Arial" w:hAnsi="Arial"/>
          <w:sz w:val="16"/>
          <w:szCs w:val="16"/>
          <w:color w:val="auto"/>
        </w:rPr>
        <w:t>. The Company offers a full line of deposit products to customers in the Community Banking Division’s market area through its ten-branch network. In addition, in June 2012, we launched our online affinity deposit program, ableBanking, a division of Northeast Bank. One of the Company’s strategic goals is for ableBanking to provide an additional channel through which to raise core deposits to fund the Company’s asset strategy.</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The Community Banking Division retains a high degree of local autonomy and operational flexibility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serve its customers. The Community Banking Division’s focus on sales and service is expected to allow us to attract and retain core deposits in support of balance sheet growth, and to continue to generate new loans, particularly through the efforts of the residential mortgage origination team.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 and Competition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Northeast Bancorp is the holding company for Northeast Bank, a full-service bank headquartered in Lewiston, Maine. Northeast Bank offers traditional banking services through its Community Banking Division, which operates ten full-service branches and six loan production offices that serve individuals and businesses located in western and south-central Maine, southern New Hampshire and southeastern Massachusetts. Northeast Bank’s Loan Acquisition and Servicing Group purchases and originates commercial loans for the Bank’s portfolio. ableBanking, a division of Northeast Bank, offers savings products to consumers online.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Community Banking Division’s primary market area covers the western and south central regions of the State of Maine. We also operate two residential mortgage lending offices in southeastern Massachusetts and one in southern New Hampshire. We encounter significant competition in our Community Banking Division market area in making loans, attracting deposits, and selling other customer products and services. Our Maine-based competitors include savings banks, commercial banks, credit unions, mutual funds, insurance companies, brokerage and investment banking companies, finance companies, and other financial intermediaries operating in Maine. Many of our primary competitors there have substantially greater resources, larger established customer bases, higher lending limits, extensive branch networks, numerous ATMs and greater advertising and marketing budgets. They may also offer services that we do not currently provide.</w:t>
      </w:r>
    </w:p>
    <w:p>
      <w:pPr>
        <w:spacing w:after="0" w:line="18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Loan Acquisition and Servicing Group has a nationwide scope in its loan purchasing, origination, and servicing activities. It competes with regional banks, national private equity funds, and community banks in its bid to acquire performing commercial loans. ableBanking also has nationwide scope in its deposit gathering activities and competes with banks and credit unions, as well as other, larger, online direct banks having a national reach.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 our loan-related activities through two primary channels: our Community Banking Division and our Loan Acquisition and Servicing Group. Our Community Banking Division originates loans directly to consumers and businesses located in its market area. Our Loan Acquisition and Servicing Group purchases primarily performing commercial real estate loans, on a nationwide basis, at a discount from their outstanding principal balances, producing yields higher than those normally achieved on the Company’s originated loan portfolio. To a lesser extent, our Loan Acquisition and Servicing Group also originates commercial real estate and commercial business loans on a nationwide basis. At June 30, 2013, of our total loan portfolio of $435.4 million, $229.7 million, or 52.8%, was originated in the Community Banking Division and $205.7 million, or 47.2%, was purchased or originated by our Loan Acquisition and Servicing Group. Pursuant to commitments made to the Federal Reserve in connection with the merger, the Company is required to limit purchased loans to 40% of total loans. At June 30, 2013, the Company’s ratio of purchased loans to total loans was 37.6%.</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individually underwrite the loans that we originate and all loans that we purchase. Our loan underwriting policies are reviewed and approved annually by our board of directors. Each loan, regardless of whether it is originated or purchased, must meet underwriting criteria set forth in our lending policies and the requirements of applicable federal and state lending regulations of our regulators. We typically retain servicing rights for all loans that we originate or purchase, except for residential loans that we originate and sell servicing released in the secondary market.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Community Banking Division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Originated Loan Portfolio</w:t>
      </w:r>
      <w:r>
        <w:rPr>
          <w:rFonts w:ascii="Arial" w:cs="Arial" w:eastAsia="Arial" w:hAnsi="Arial"/>
          <w:sz w:val="18"/>
          <w:szCs w:val="18"/>
          <w:color w:val="auto"/>
        </w:rPr>
        <w:t>. Our originated loan portfolio consists primarily of loans to consumers and businesses in our Community Banking Division’s</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market area.</w:t>
      </w:r>
    </w:p>
    <w:p>
      <w:pPr>
        <w:spacing w:after="0" w:line="170" w:lineRule="exact"/>
        <w:rPr>
          <w:sz w:val="20"/>
          <w:szCs w:val="20"/>
          <w:color w:val="auto"/>
        </w:rPr>
      </w:pPr>
    </w:p>
    <w:p>
      <w:pPr>
        <w:ind w:left="660" w:right="80" w:hanging="328"/>
        <w:spacing w:after="0" w:line="273"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Residential Mortgage Loans</w:t>
      </w:r>
      <w:r>
        <w:rPr>
          <w:rFonts w:ascii="Arial" w:cs="Arial" w:eastAsia="Arial" w:hAnsi="Arial"/>
          <w:sz w:val="17"/>
          <w:szCs w:val="17"/>
          <w:color w:val="auto"/>
        </w:rPr>
        <w:t>. We originate residential mortgage loans secured by one- to four-family properties throughout Maine, southeastern</w:t>
      </w:r>
      <w:r>
        <w:rPr>
          <w:rFonts w:ascii="Arial" w:cs="Arial" w:eastAsia="Arial" w:hAnsi="Arial"/>
          <w:sz w:val="17"/>
          <w:szCs w:val="17"/>
          <w:i w:val="1"/>
          <w:iCs w:val="1"/>
          <w:color w:val="auto"/>
        </w:rPr>
        <w:t xml:space="preserve"> </w:t>
      </w:r>
      <w:r>
        <w:rPr>
          <w:rFonts w:ascii="Arial" w:cs="Arial" w:eastAsia="Arial" w:hAnsi="Arial"/>
          <w:sz w:val="17"/>
          <w:szCs w:val="17"/>
          <w:color w:val="auto"/>
        </w:rPr>
        <w:t>Massachusetts, and southern New Hampshire. Such loans may be originated for sale in the secondary market or to be held on the Bank’s balance sheet. We also offer home equity loans and home equity lines of credit, which are secured by first or second mortgages on one- to four-family owner-occupied properties and which are held on our balance sheet. At June 30, 2013, portfolio residential loans totaled $125.0 million, or 28.7% of total loans. Of the residential loans we held for investment at June 30, 2013, 46.5% were adjustable rate. Included in residential loans are home equity lines of credit and other second mortgage loans aggregating approximately $35.4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32" w:gutter="0" w:footer="0" w:header="0"/>
        </w:sectPr>
      </w:pPr>
    </w:p>
    <w:bookmarkStart w:id="4" w:name="page5"/>
    <w:bookmarkEnd w:id="4"/>
    <w:p>
      <w:pPr>
        <w:ind w:left="660" w:right="40" w:hanging="328"/>
        <w:spacing w:after="0" w:line="25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We originate multi-family and other commercial real estate loans secured by property located primarily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Banking Division’s market area. At June 30, 2013, commercial real estate loans outstanding were $78.9 million, or 18.1% of total loans. Although the largest commercial real estate loan originated by our Community Banking Division had a principal balance of $2.1 million at June 30, 2013, the majority of the commercial real estate loans originated by our Community Banking Division had principal balances less than $500 thousand.</w:t>
      </w:r>
    </w:p>
    <w:p>
      <w:pPr>
        <w:spacing w:after="0" w:line="188" w:lineRule="exact"/>
        <w:rPr>
          <w:rFonts w:ascii="Arial" w:cs="Arial" w:eastAsia="Arial" w:hAnsi="Arial"/>
          <w:sz w:val="18"/>
          <w:szCs w:val="18"/>
          <w:color w:val="auto"/>
        </w:rPr>
      </w:pPr>
    </w:p>
    <w:p>
      <w:pPr>
        <w:ind w:left="660" w:right="120" w:hanging="328"/>
        <w:spacing w:after="0" w:line="302"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Commercial Business Loans. </w:t>
      </w:r>
      <w:r>
        <w:rPr>
          <w:rFonts w:ascii="Arial" w:cs="Arial" w:eastAsia="Arial" w:hAnsi="Arial"/>
          <w:sz w:val="16"/>
          <w:szCs w:val="16"/>
          <w:color w:val="auto"/>
        </w:rPr>
        <w:t>We originate commercial business loans, including term loans, lines of credit and equipment and receivables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to businesses located primarily in our Community Banking Division’s market area. At June 30, 2013, commercial business loans outstanding were $12.4 million, or 2.9% of total loans. At June 30, 2013, there were 164 commercial business loans outstanding with an average principal balance of $77 thousand. The largest of these commercial business loans had a principal balance of $1.2 million at June 30, 2013.</w:t>
      </w:r>
    </w:p>
    <w:p>
      <w:pPr>
        <w:spacing w:after="0" w:line="154" w:lineRule="exact"/>
        <w:rPr>
          <w:rFonts w:ascii="Arial" w:cs="Arial" w:eastAsia="Arial" w:hAnsi="Arial"/>
          <w:sz w:val="16"/>
          <w:szCs w:val="16"/>
          <w:color w:val="auto"/>
        </w:rPr>
      </w:pPr>
    </w:p>
    <w:p>
      <w:pPr>
        <w:ind w:left="66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Consumer Loans. </w:t>
      </w:r>
      <w:r>
        <w:rPr>
          <w:rFonts w:ascii="Arial" w:cs="Arial" w:eastAsia="Arial" w:hAnsi="Arial"/>
          <w:sz w:val="18"/>
          <w:szCs w:val="18"/>
          <w:color w:val="auto"/>
        </w:rPr>
        <w:t>We originate, on a direct basis, automobile, boat and recreational vehicle loans. At June 30, 2013, consumer loans outstanding were</w:t>
      </w:r>
      <w:r>
        <w:rPr>
          <w:rFonts w:ascii="Arial" w:cs="Arial" w:eastAsia="Arial" w:hAnsi="Arial"/>
          <w:sz w:val="18"/>
          <w:szCs w:val="18"/>
          <w:i w:val="1"/>
          <w:iCs w:val="1"/>
          <w:color w:val="auto"/>
        </w:rPr>
        <w:t xml:space="preserve"> </w:t>
      </w:r>
      <w:r>
        <w:rPr>
          <w:rFonts w:ascii="Arial" w:cs="Arial" w:eastAsia="Arial" w:hAnsi="Arial"/>
          <w:sz w:val="18"/>
          <w:szCs w:val="18"/>
          <w:color w:val="auto"/>
        </w:rPr>
        <w:t>$13.3 million, or 3.1% of total loans.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Loans. </w:t>
      </w:r>
      <w:r>
        <w:rPr>
          <w:rFonts w:ascii="Arial" w:cs="Arial" w:eastAsia="Arial" w:hAnsi="Arial"/>
          <w:sz w:val="18"/>
          <w:szCs w:val="18"/>
          <w:color w:val="auto"/>
        </w:rPr>
        <w:t>From time to time, we originate residential construction loans to finance the construction of single-family, owner-occupied</w:t>
      </w:r>
      <w:r>
        <w:rPr>
          <w:rFonts w:ascii="Arial" w:cs="Arial" w:eastAsia="Arial" w:hAnsi="Arial"/>
          <w:sz w:val="18"/>
          <w:szCs w:val="18"/>
          <w:i w:val="1"/>
          <w:iCs w:val="1"/>
          <w:color w:val="auto"/>
        </w:rPr>
        <w:t xml:space="preserve"> </w:t>
      </w:r>
      <w:r>
        <w:rPr>
          <w:rFonts w:ascii="Arial" w:cs="Arial" w:eastAsia="Arial" w:hAnsi="Arial"/>
          <w:sz w:val="18"/>
          <w:szCs w:val="18"/>
          <w:color w:val="auto"/>
        </w:rPr>
        <w:t>homes. At June 30, 2013, construction loans outstanding were $42 thousand.</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Underwriting of Originated Loans</w:t>
      </w:r>
      <w:r>
        <w:rPr>
          <w:rFonts w:ascii="Arial" w:cs="Arial" w:eastAsia="Arial" w:hAnsi="Arial"/>
          <w:sz w:val="17"/>
          <w:szCs w:val="17"/>
          <w:color w:val="auto"/>
        </w:rPr>
        <w:t>. Most residential loans, including those held for investment, are originated in accordance with the standards of the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Mortgage Association, the Federal Home Loan Mortgage Corporation, the Federal Housing Authority, or other third party correspondent lenders. Our underwriting and approval process for all other loans originated by our Community Banking Division is as follows:</w:t>
      </w:r>
    </w:p>
    <w:p>
      <w:pPr>
        <w:spacing w:after="0" w:line="166" w:lineRule="exact"/>
        <w:rPr>
          <w:sz w:val="20"/>
          <w:szCs w:val="20"/>
          <w:color w:val="auto"/>
        </w:rPr>
      </w:pPr>
    </w:p>
    <w:p>
      <w:pPr>
        <w:ind w:left="660" w:right="48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originated loans are sourced through relationships between loan officers and their third party referral sources or current or previous customers.</w:t>
      </w:r>
    </w:p>
    <w:p>
      <w:pPr>
        <w:spacing w:after="0" w:line="170" w:lineRule="exact"/>
        <w:rPr>
          <w:rFonts w:ascii="Arial" w:cs="Arial" w:eastAsia="Arial" w:hAnsi="Arial"/>
          <w:sz w:val="18"/>
          <w:szCs w:val="18"/>
          <w:color w:val="auto"/>
        </w:rPr>
      </w:pPr>
    </w:p>
    <w:p>
      <w:pPr>
        <w:ind w:left="660" w:right="160" w:hanging="328"/>
        <w:spacing w:after="0" w:line="312" w:lineRule="auto"/>
        <w:tabs>
          <w:tab w:leader="none" w:pos="6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After a loan officer has taken basic information from the borrower, the request is submitted to the Community Banking Division’s loan production department. The loan production department obtains comprehensive information from the borrower and third parties, and conducts verification and analysis of the borrower information, which is assembled into a single underwriting package that is submitted for final approval.</w:t>
      </w:r>
    </w:p>
    <w:p>
      <w:pPr>
        <w:spacing w:after="0" w:line="146" w:lineRule="exact"/>
        <w:rPr>
          <w:rFonts w:ascii="Arial" w:cs="Arial" w:eastAsia="Arial" w:hAnsi="Arial"/>
          <w:sz w:val="16"/>
          <w:szCs w:val="16"/>
          <w:color w:val="auto"/>
        </w:rPr>
      </w:pPr>
    </w:p>
    <w:p>
      <w:pPr>
        <w:jc w:val="both"/>
        <w:ind w:left="660" w:right="280" w:hanging="328"/>
        <w:spacing w:after="0" w:line="264"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Loans of $500 thousand or more (determined on a relationship basis) require approval from the Community Banking Division Credit Committee, which is comprised of senior managers of the Bank. Loans of less than $500 thousand (determined on a relationship basis) require approval from two underwriters with appropriate lending authority.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Acquisition and Servicing Group</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Loan Acquisition and Servicing Group (the “LASG”) purchases and originates commercial loans secured by income-producing collateral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on a nationwide basis. Although the Bank’s legal lending limit was $19.9 million at June 30, 2013 (equal to 20% of Northeast Bank’s capital plus surplus), our credit policy currently requires prior Board approval for the purchase or origination of a loan with an initial investment greater than 10% of the Company’s tier one capital, determined on a relationship basis. We focus primarily on loans with balances between $1.0 million and $5.0 million. Loans are sourced on a nationwide basis from banks, insurance companies, investment funds and government agencies, either directly or indirectly through advisors. We seek to build a loan portfolio that is diverse with respect to geography, loan type and collateral type. Of the loans originated or purchased by our Loan Acquisition and Servicing Group that were outstanding as of June 30, 2013, $185.5 million, or 90.2%, consisted of commercial real estate loans. The following table summarizes the LASG loan portfolio as of June 30,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Purchased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Originated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42"/>
        </w:trPr>
        <w:tc>
          <w:tcPr>
            <w:tcW w:w="3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Non-owner occupied commercial real estate</w:t>
            </w:r>
          </w:p>
        </w:tc>
        <w:tc>
          <w:tcPr>
            <w:tcW w:w="8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18,126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143,632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38,540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41,901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1-4 family residential</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2,856</w:t>
            </w:r>
          </w:p>
        </w:tc>
      </w:tr>
      <w:tr>
        <w:trPr>
          <w:trHeight w:val="21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Since the inception of the LASG through June 30, 2013, we have purchased loans for an aggregate investment of $223.8 million, of which $121.3 million was purchased during fiscal 2013. We have also originated loans totaling $42.6 million, of which $37.2 million was originated in fiscal 2013. As of June 30, 2013, the unpaid principal balance of loans purchased or originated by the LASG ranged from $1 thousand to $12.0 million, with an average of $741 thousand, and were secured by retail, industrial, mixed use, multi-family and office properties in 39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LASG loan portfolio by investment size as of June 30,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Range</w:t>
            </w:r>
          </w:p>
        </w:tc>
        <w:tc>
          <w:tcPr>
            <w:tcW w:w="160" w:type="dxa"/>
            <w:vAlign w:val="bottom"/>
          </w:tcPr>
          <w:p>
            <w:pPr>
              <w:spacing w:after="0"/>
              <w:rPr>
                <w:sz w:val="14"/>
                <w:szCs w:val="14"/>
                <w:color w:val="auto"/>
              </w:rPr>
            </w:pPr>
          </w:p>
        </w:tc>
        <w:tc>
          <w:tcPr>
            <w:tcW w:w="19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$0 - $500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$500 - $1,000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29,600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$1,000 - $2,000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36,667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$2,000 - $3,000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25,487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$3,000 - $4,000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23,374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Greater than $4,000</w:t>
            </w:r>
          </w:p>
        </w:tc>
        <w:tc>
          <w:tcPr>
            <w:tcW w:w="16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56,523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205,665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LASG loan portfolio by location and type of collateral as of June 30, 2013.</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ind w:left="3980"/>
        <w:spacing w:after="0"/>
        <w:tabs>
          <w:tab w:leader="none" w:pos="9420" w:val="left"/>
        </w:tabs>
        <w:rPr>
          <w:sz w:val="20"/>
          <w:szCs w:val="20"/>
          <w:color w:val="auto"/>
        </w:rPr>
      </w:pPr>
      <w:r>
        <w:rPr>
          <w:rFonts w:ascii="Arial" w:cs="Arial" w:eastAsia="Arial" w:hAnsi="Arial"/>
          <w:sz w:val="13"/>
          <w:szCs w:val="13"/>
          <w:b w:val="1"/>
          <w:bCs w:val="1"/>
          <w:color w:val="auto"/>
        </w:rPr>
        <w:t>Percent</w:t>
      </w:r>
      <w:r>
        <w:rPr>
          <w:sz w:val="20"/>
          <w:szCs w:val="20"/>
          <w:color w:val="auto"/>
        </w:rPr>
        <w:tab/>
      </w:r>
      <w:r>
        <w:rPr>
          <w:rFonts w:ascii="Arial" w:cs="Arial" w:eastAsia="Arial" w:hAnsi="Arial"/>
          <w:sz w:val="13"/>
          <w:szCs w:val="13"/>
          <w:b w:val="1"/>
          <w:bCs w:val="1"/>
          <w:color w:val="auto"/>
        </w:rPr>
        <w:t>Percent</w:t>
      </w:r>
    </w:p>
    <w:p>
      <w:pPr>
        <w:sectPr>
          <w:pgSz w:w="11900" w:h="16838" w:orient="portrait"/>
          <w:cols w:equalWidth="0" w:num="1">
            <w:col w:w="1142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20"/>
                <w:szCs w:val="20"/>
                <w:color w:val="auto"/>
              </w:rPr>
            </w:pPr>
            <w:r>
              <w:rPr>
                <w:rFonts w:ascii="Arial" w:cs="Arial" w:eastAsia="Arial" w:hAnsi="Arial"/>
                <w:sz w:val="14"/>
                <w:szCs w:val="14"/>
                <w:b w:val="1"/>
                <w:bCs w:val="1"/>
                <w:color w:val="auto"/>
              </w:rPr>
              <w:t>Collateral Type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Amount</w:t>
            </w:r>
          </w:p>
        </w:tc>
        <w:tc>
          <w:tcPr>
            <w:tcW w:w="2300" w:type="dxa"/>
            <w:vAlign w:val="bottom"/>
            <w:gridSpan w:val="2"/>
          </w:tcPr>
          <w:p>
            <w:pPr>
              <w:jc w:val="right"/>
              <w:ind w:right="1530"/>
              <w:spacing w:after="0"/>
              <w:rPr>
                <w:sz w:val="20"/>
                <w:szCs w:val="20"/>
                <w:color w:val="auto"/>
              </w:rPr>
            </w:pPr>
            <w:r>
              <w:rPr>
                <w:rFonts w:ascii="Arial" w:cs="Arial" w:eastAsia="Arial" w:hAnsi="Arial"/>
                <w:sz w:val="14"/>
                <w:szCs w:val="14"/>
                <w:b w:val="1"/>
                <w:bCs w:val="1"/>
                <w:color w:val="auto"/>
              </w:rPr>
              <w:t>of Total</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State</w:t>
            </w:r>
          </w:p>
        </w:tc>
        <w:tc>
          <w:tcPr>
            <w:tcW w:w="14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of Total</w:t>
            </w:r>
          </w:p>
        </w:tc>
      </w:tr>
      <w:tr>
        <w:trPr>
          <w:trHeight w:val="142"/>
        </w:trPr>
        <w:tc>
          <w:tcPr>
            <w:tcW w:w="1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2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Multifamily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37,704</w:t>
            </w:r>
          </w:p>
        </w:tc>
        <w:tc>
          <w:tcPr>
            <w:tcW w:w="23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18.33%</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50,169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Office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36,910</w:t>
            </w:r>
          </w:p>
        </w:tc>
        <w:tc>
          <w:tcPr>
            <w:tcW w:w="2300" w:type="dxa"/>
            <w:vAlign w:val="bottom"/>
            <w:gridSpan w:val="2"/>
          </w:tcPr>
          <w:p>
            <w:pPr>
              <w:jc w:val="right"/>
              <w:ind w:right="1190"/>
              <w:spacing w:after="0"/>
              <w:rPr>
                <w:sz w:val="20"/>
                <w:szCs w:val="20"/>
                <w:color w:val="auto"/>
              </w:rPr>
            </w:pPr>
            <w:r>
              <w:rPr>
                <w:rFonts w:ascii="Arial" w:cs="Arial" w:eastAsia="Arial" w:hAnsi="Arial"/>
                <w:sz w:val="18"/>
                <w:szCs w:val="18"/>
                <w:color w:val="auto"/>
              </w:rPr>
              <w:t>17.95%</w:t>
            </w:r>
          </w:p>
        </w:tc>
        <w:tc>
          <w:tcPr>
            <w:tcW w:w="1160" w:type="dxa"/>
            <w:vAlign w:val="bottom"/>
            <w:gridSpan w:val="2"/>
          </w:tcPr>
          <w:p>
            <w:pPr>
              <w:spacing w:after="0"/>
              <w:rPr>
                <w:sz w:val="20"/>
                <w:szCs w:val="20"/>
                <w:color w:val="auto"/>
              </w:rPr>
            </w:pPr>
            <w:r>
              <w:rPr>
                <w:rFonts w:ascii="Arial" w:cs="Arial" w:eastAsia="Arial" w:hAnsi="Arial"/>
                <w:sz w:val="18"/>
                <w:szCs w:val="18"/>
                <w:color w:val="auto"/>
              </w:rPr>
              <w:t>NY</w:t>
            </w:r>
          </w:p>
        </w:tc>
        <w:tc>
          <w:tcPr>
            <w:tcW w:w="14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43,845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21.32%</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Hospitality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29,777</w:t>
            </w:r>
          </w:p>
        </w:tc>
        <w:tc>
          <w:tcPr>
            <w:tcW w:w="23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14.48%</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Retail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29,634</w:t>
            </w:r>
          </w:p>
        </w:tc>
        <w:tc>
          <w:tcPr>
            <w:tcW w:w="2300" w:type="dxa"/>
            <w:vAlign w:val="bottom"/>
            <w:gridSpan w:val="2"/>
          </w:tcPr>
          <w:p>
            <w:pPr>
              <w:jc w:val="right"/>
              <w:ind w:right="1190"/>
              <w:spacing w:after="0"/>
              <w:rPr>
                <w:sz w:val="20"/>
                <w:szCs w:val="20"/>
                <w:color w:val="auto"/>
              </w:rPr>
            </w:pPr>
            <w:r>
              <w:rPr>
                <w:rFonts w:ascii="Arial" w:cs="Arial" w:eastAsia="Arial" w:hAnsi="Arial"/>
                <w:sz w:val="18"/>
                <w:szCs w:val="18"/>
                <w:color w:val="auto"/>
              </w:rPr>
              <w:t>12.95%</w:t>
            </w:r>
          </w:p>
        </w:tc>
        <w:tc>
          <w:tcPr>
            <w:tcW w:w="1160" w:type="dxa"/>
            <w:vAlign w:val="bottom"/>
            <w:gridSpan w:val="2"/>
          </w:tcPr>
          <w:p>
            <w:pPr>
              <w:spacing w:after="0"/>
              <w:rPr>
                <w:sz w:val="20"/>
                <w:szCs w:val="20"/>
                <w:color w:val="auto"/>
              </w:rPr>
            </w:pPr>
            <w:r>
              <w:rPr>
                <w:rFonts w:ascii="Arial" w:cs="Arial" w:eastAsia="Arial" w:hAnsi="Arial"/>
                <w:sz w:val="18"/>
                <w:szCs w:val="18"/>
                <w:color w:val="auto"/>
              </w:rPr>
              <w:t>NV</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6,914</w:t>
            </w:r>
          </w:p>
        </w:tc>
        <w:tc>
          <w:tcPr>
            <w:tcW w:w="2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3.36%</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25,741</w:t>
            </w:r>
          </w:p>
        </w:tc>
        <w:tc>
          <w:tcPr>
            <w:tcW w:w="23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12.52%</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Mixed use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21,782</w:t>
            </w:r>
          </w:p>
        </w:tc>
        <w:tc>
          <w:tcPr>
            <w:tcW w:w="2300" w:type="dxa"/>
            <w:vAlign w:val="bottom"/>
            <w:gridSpan w:val="2"/>
          </w:tcPr>
          <w:p>
            <w:pPr>
              <w:jc w:val="right"/>
              <w:ind w:right="1190"/>
              <w:spacing w:after="0"/>
              <w:rPr>
                <w:sz w:val="20"/>
                <w:szCs w:val="20"/>
                <w:color w:val="auto"/>
              </w:rPr>
            </w:pPr>
            <w:r>
              <w:rPr>
                <w:rFonts w:ascii="Arial" w:cs="Arial" w:eastAsia="Arial" w:hAnsi="Arial"/>
                <w:sz w:val="18"/>
                <w:szCs w:val="18"/>
                <w:color w:val="auto"/>
              </w:rPr>
              <w:t>10.59%</w:t>
            </w:r>
          </w:p>
        </w:tc>
        <w:tc>
          <w:tcPr>
            <w:tcW w:w="1160" w:type="dxa"/>
            <w:vAlign w:val="bottom"/>
            <w:gridSpan w:val="2"/>
          </w:tcPr>
          <w:p>
            <w:pPr>
              <w:spacing w:after="0"/>
              <w:rPr>
                <w:sz w:val="20"/>
                <w:szCs w:val="20"/>
                <w:color w:val="auto"/>
              </w:rPr>
            </w:pPr>
            <w:r>
              <w:rPr>
                <w:rFonts w:ascii="Arial" w:cs="Arial" w:eastAsia="Arial" w:hAnsi="Arial"/>
                <w:sz w:val="18"/>
                <w:szCs w:val="18"/>
                <w:color w:val="auto"/>
              </w:rPr>
              <w:t>FL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6,015</w:t>
            </w:r>
          </w:p>
        </w:tc>
        <w:tc>
          <w:tcPr>
            <w:tcW w:w="2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2.92%</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23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5.83%</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Other real estate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5,124</w:t>
            </w:r>
          </w:p>
        </w:tc>
        <w:tc>
          <w:tcPr>
            <w:tcW w:w="2300" w:type="dxa"/>
            <w:vAlign w:val="bottom"/>
            <w:gridSpan w:val="2"/>
          </w:tcPr>
          <w:p>
            <w:pPr>
              <w:jc w:val="right"/>
              <w:ind w:right="1190"/>
              <w:spacing w:after="0"/>
              <w:rPr>
                <w:sz w:val="20"/>
                <w:szCs w:val="20"/>
                <w:color w:val="auto"/>
              </w:rPr>
            </w:pPr>
            <w:r>
              <w:rPr>
                <w:rFonts w:ascii="Arial" w:cs="Arial" w:eastAsia="Arial" w:hAnsi="Arial"/>
                <w:sz w:val="18"/>
                <w:szCs w:val="18"/>
                <w:color w:val="auto"/>
              </w:rPr>
              <w:t>2.49%</w:t>
            </w:r>
          </w:p>
        </w:tc>
        <w:tc>
          <w:tcPr>
            <w:tcW w:w="1160" w:type="dxa"/>
            <w:vAlign w:val="bottom"/>
            <w:gridSpan w:val="2"/>
          </w:tcPr>
          <w:p>
            <w:pPr>
              <w:spacing w:after="0"/>
              <w:rPr>
                <w:sz w:val="20"/>
                <w:szCs w:val="20"/>
                <w:color w:val="auto"/>
              </w:rPr>
            </w:pPr>
            <w:r>
              <w:rPr>
                <w:rFonts w:ascii="Arial" w:cs="Arial" w:eastAsia="Arial" w:hAnsi="Arial"/>
                <w:sz w:val="18"/>
                <w:szCs w:val="18"/>
                <w:color w:val="auto"/>
              </w:rPr>
              <w:t>MN</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5,268</w:t>
            </w:r>
          </w:p>
        </w:tc>
        <w:tc>
          <w:tcPr>
            <w:tcW w:w="2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2.56%</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6,993</w:t>
            </w:r>
          </w:p>
        </w:tc>
        <w:tc>
          <w:tcPr>
            <w:tcW w:w="23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4.86%</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73,935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35.96%</w:t>
            </w:r>
          </w:p>
        </w:tc>
      </w:tr>
      <w:tr>
        <w:trPr>
          <w:trHeight w:val="223"/>
        </w:trPr>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205,665</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420" w:type="dxa"/>
            <w:vAlign w:val="bottom"/>
          </w:tcPr>
          <w:p>
            <w:pPr>
              <w:jc w:val="right"/>
              <w:ind w:right="1190"/>
              <w:spacing w:after="0"/>
              <w:rPr>
                <w:sz w:val="20"/>
                <w:szCs w:val="20"/>
                <w:color w:val="auto"/>
              </w:rPr>
            </w:pPr>
            <w:r>
              <w:rPr>
                <w:rFonts w:ascii="Arial" w:cs="Arial" w:eastAsia="Arial" w:hAnsi="Arial"/>
                <w:sz w:val="18"/>
                <w:szCs w:val="18"/>
                <w:color w:val="auto"/>
                <w:w w:val="74"/>
              </w:rPr>
              <w: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205,665</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0"/>
        </w:trPr>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i w:val="1"/>
          <w:iCs w:val="1"/>
          <w:color w:val="auto"/>
        </w:rPr>
        <w:t xml:space="preserve">Loan Purchase Strategies. </w:t>
      </w:r>
      <w:r>
        <w:rPr>
          <w:rFonts w:ascii="Arial" w:cs="Arial" w:eastAsia="Arial" w:hAnsi="Arial"/>
          <w:sz w:val="17"/>
          <w:szCs w:val="17"/>
          <w:color w:val="auto"/>
        </w:rPr>
        <w:t>Our Loan Acquisition and Servicing Group’s loan purchasing strategy involves the acquisition of commercial loans,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by real estate or other business assets located throughout the United States. The Loan Acquisition and Servicing Group includes a team of credit analysts, real estate analysts, servicing specialists and legal counsel with extensive experience in the loan acquisition business.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acquire performing commercial loans typically at a discount to their unpaid principal balances. While we acquire loans on a nationwide basis, we seek to avoid significant concentration in any geographic region or in any one collateral type. We do not seek acquisition opportunities where the primary collateral is land, construction, or one- to four-family residential property, although in a very limited number of cases, loans secured by such collateral may be included in a pool of otherwise desirable loans.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focus on servicing released, whole loan or lead participation transactions so that we can control the management of our portfolio through our experienced asset management professionals. Purchased loans can be acquired as a single relationship or combined with other borrowers in a larger pool. We generally avoid small average balance transactions (i.e. less than $250 thousand) due to the relatively higher operational and opportunity costs of managing and underwriting these assets. Loans are bid to a minimal acceptable yield to maturity based on the overall risk of the loan, including expected repayment terms and the underlying collateral value. Updated loan-to-value ratios and loan terms both influence the amount of discount the Bank requires in determining whether a loan meets the Bank’s guidelines. We often achieve actual results in excess of our minimal acceptable yield to maturity when a loan is prepaid.</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June 30, 2013, purchased loans had an unpaid principal balance of $204.3 million and net investment basis of $166.8 million, representing discount across the portfolio of 18.4%.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purchased loan portfolio as of June 30, 2013 by original purchase price.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Investment as a %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Amount</w:t>
            </w:r>
          </w:p>
        </w:tc>
        <w:tc>
          <w:tcPr>
            <w:tcW w:w="17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Unpaid Principal Balance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3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28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- 60%</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6,938</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4"/>
              </w:rPr>
              <w:t>60%</w:t>
            </w:r>
          </w:p>
        </w:tc>
        <w:tc>
          <w:tcPr>
            <w:tcW w:w="1940" w:type="dxa"/>
            <w:vAlign w:val="bottom"/>
          </w:tcPr>
          <w:p>
            <w:pPr>
              <w:ind w:left="20"/>
              <w:spacing w:after="0"/>
              <w:rPr>
                <w:sz w:val="20"/>
                <w:szCs w:val="20"/>
                <w:color w:val="auto"/>
              </w:rPr>
            </w:pPr>
            <w:r>
              <w:rPr>
                <w:rFonts w:ascii="Arial" w:cs="Arial" w:eastAsia="Arial" w:hAnsi="Arial"/>
                <w:sz w:val="18"/>
                <w:szCs w:val="18"/>
                <w:color w:val="auto"/>
              </w:rPr>
              <w:t>- 70%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8,015</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4"/>
              </w:rPr>
              <w:t>70%</w:t>
            </w:r>
          </w:p>
        </w:tc>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30,763</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4"/>
              </w:rPr>
              <w:t>80%</w:t>
            </w:r>
          </w:p>
        </w:tc>
        <w:tc>
          <w:tcPr>
            <w:tcW w:w="1940" w:type="dxa"/>
            <w:vAlign w:val="bottom"/>
          </w:tcPr>
          <w:p>
            <w:pPr>
              <w:ind w:left="20"/>
              <w:spacing w:after="0"/>
              <w:rPr>
                <w:sz w:val="20"/>
                <w:szCs w:val="20"/>
                <w:color w:val="auto"/>
              </w:rPr>
            </w:pPr>
            <w:r>
              <w:rPr>
                <w:rFonts w:ascii="Arial" w:cs="Arial" w:eastAsia="Arial" w:hAnsi="Arial"/>
                <w:sz w:val="18"/>
                <w:szCs w:val="18"/>
                <w:color w:val="auto"/>
              </w:rPr>
              <w:t>- 90%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43,318</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4"/>
              </w:rPr>
              <w:t>90%</w:t>
            </w:r>
          </w:p>
        </w:tc>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77,752</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2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Secondary Market for Commercial Loans. </w:t>
      </w:r>
      <w:r>
        <w:rPr>
          <w:rFonts w:ascii="Arial" w:cs="Arial" w:eastAsia="Arial" w:hAnsi="Arial"/>
          <w:sz w:val="16"/>
          <w:szCs w:val="16"/>
          <w:color w:val="auto"/>
        </w:rPr>
        <w:t>Commercial whole loans are typically sold either directly by sellers or through loan sale advisors. Because a</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database for commercial whole loans does not exist, we attempt to compile our own statistics by both polling major loan sale advisors to obtain their aggregate trading volume and tracking the deal flow that we see directly via a proprietary database. This data reflects only a portion of the total market, as commercial whole loans that are sold in private direct sales or through other loan sale advisors are not included in our surveys. In recent years, the ratio of performing loans to total loans in the market has increased, in part, because, we believe, sellers have worked through their most troubled, non-performing loans or are looking to minimize the discount they would receive in a secondary transaction. While the recent economic crisis has led to a high level of trading volume, we expect the market to remain active in times of economic prosperity, as sellers tend to have additional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reserve capacity to sell their unwanted assets. Furthermore, we believe that the continued consolidation of the banking industry will create secondary market activity as acquirers often sell non-strategic borrowing relationships or assets that create excess loan concentrations.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Underwriting of Purchased Loans</w:t>
      </w:r>
      <w:r>
        <w:rPr>
          <w:rFonts w:ascii="Arial" w:cs="Arial" w:eastAsia="Arial" w:hAnsi="Arial"/>
          <w:sz w:val="16"/>
          <w:szCs w:val="16"/>
          <w:color w:val="auto"/>
        </w:rPr>
        <w:t>. We review many loan purchase opportunities and commence underwriting on a relatively small percentage of them.</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2013, we reviewed approximately 165 transactions representing loans with $1.8 billion in unpaid principal balance. Of those transactions that we reviewed, we placed bids in 39 transactions representing loans with $359 million in unpaid principal balance. Ultimately, we closed 31 transactions in which we acquired $155.2 million in unpaid principal balance for an aggregate purchase price of $121.3 million, or 78.2% of the unpaid principal balance.</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of our purchased loans is individually underwritten by a team of in-house, seasoned analysts before being considered for approval. Prior to commencing underwriting, each loan or portfolio of loans is analyzed for its performance characteristics, loan terms, collateral quality, and price expectations. We also consider whether the loan or portfolio of loans would make our total purchased loan portfolio more or less diverse with respect to geography, loan type and collateral type. The opportunity is underwritten once it has been identified as fitting our investment parameters. While the extent of underwriting may vary based on investment size, procedures generally include the following:</w:t>
      </w:r>
    </w:p>
    <w:p>
      <w:pPr>
        <w:spacing w:after="0" w:line="188" w:lineRule="exact"/>
        <w:rPr>
          <w:sz w:val="20"/>
          <w:szCs w:val="20"/>
          <w:color w:val="auto"/>
        </w:rPr>
      </w:pPr>
    </w:p>
    <w:p>
      <w:pPr>
        <w:ind w:left="66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loan analyst reviews and analyzes financial statements and third party research, including credit reports and other data with respect to the borrower, guarantors, corporate sponsors and any major tenants, in order to assess credit risk.</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the assistance of local counsel, where appropriate, an in-house attorney makes a determination regarding the quality of loan documentation and enforceability of loan terms.</w:t>
      </w:r>
    </w:p>
    <w:p>
      <w:pPr>
        <w:sectPr>
          <w:pgSz w:w="11900" w:h="16838" w:orient="portrait"/>
          <w:cols w:equalWidth="0" w:num="1">
            <w:col w:w="11400"/>
          </w:cols>
          <w:pgMar w:left="240" w:top="118" w:right="259" w:bottom="0" w:gutter="0" w:footer="0" w:header="0"/>
        </w:sectPr>
      </w:pPr>
    </w:p>
    <w:bookmarkStart w:id="6" w:name="page7"/>
    <w:bookmarkEnd w:id="6"/>
    <w:p>
      <w:pPr>
        <w:spacing w:after="0" w:line="28" w:lineRule="exact"/>
        <w:rPr>
          <w:sz w:val="20"/>
          <w:szCs w:val="20"/>
          <w:color w:val="auto"/>
        </w:rPr>
      </w:pPr>
    </w:p>
    <w:p>
      <w:pPr>
        <w:jc w:val="both"/>
        <w:ind w:left="660" w:right="180" w:hanging="328"/>
        <w:spacing w:after="0" w:line="264"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in-house real estate specialist performs a detailed evaluation of all real estate collateral, including canvassing local market experts, conducting original market research for trends and sale and lease comparables, and creates a written valuation that is based on current data reflecting what we believe are recent trends.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environmental assessment is performed on real estate collateral.</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property inspection is performed on all real estate collateral securing a loan, focusing on several characteristics, including, among other things, the physical quality of the property, current occupancy, general quality and occupancy within the neighborhood, market position and nearby property listings.</w:t>
      </w:r>
    </w:p>
    <w:p>
      <w:pPr>
        <w:spacing w:after="0" w:line="181"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detailed underwriting package containing the results of all this analysis and information is assembled and reviewed by a separate credit analyst on our team before being submitted for approval by the Loan Acquisition and Servicing Group Credit Committee.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Collateral Valuation. </w:t>
      </w:r>
      <w:r>
        <w:rPr>
          <w:rFonts w:ascii="Arial" w:cs="Arial" w:eastAsia="Arial" w:hAnsi="Arial"/>
          <w:sz w:val="18"/>
          <w:szCs w:val="18"/>
          <w:color w:val="auto"/>
        </w:rPr>
        <w:t>The estimated value of the real property collateralizing the loan is determined by the Loan Acquisition and Servicing Group’s in-house</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group, which considers, among other factors, the type of property, its condition, location and its highest and best use in its marketplace. An inspection is conducted for the real property securing all loans bid upon, and for all loans that represent an investment in excess of $1.0 million, members of the Loan Acquisition and Servicing Group typically conduct an in-person site inspection.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generally view cash flow from operations as the primary source of repayment on purchased loans. The Loan Acquisition and Servicing Group analyzes the current and likely future cash flows generated by the collateral to repay the loan. Also considered are minimum debt service coverage ratios, consisting of the ratio of net operating income to total principal and interest payments. For example, our credit policy provides that the debt service coverage ratio for a purchased commercial real estate loan generally should not be less than 120 percent of the monthly principal and interest payments resulting from a re-amortization of the Bank’s basis, at a market interest rate.</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Loan Pricing. </w:t>
      </w:r>
      <w:r>
        <w:rPr>
          <w:rFonts w:ascii="Arial" w:cs="Arial" w:eastAsia="Arial" w:hAnsi="Arial"/>
          <w:sz w:val="18"/>
          <w:szCs w:val="18"/>
          <w:color w:val="auto"/>
        </w:rPr>
        <w:t>In determining the amount that we are willing to bid to acquire individual loans or loan pools, the Loan Acquisition and Servicing Group</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the following:</w:t>
      </w:r>
    </w:p>
    <w:p>
      <w:pPr>
        <w:spacing w:after="0" w:line="170"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collateral securing the loan;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geographic location;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resources of the borrower or guarantors, if any;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recourse nature of the loan;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age and performance of the loan;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during which the loan has performed in accordance with its repayment term;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yield expected to be earned;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servicing restrictions, if any.</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to the factors listed above and despite the fact that purchased loans are typically performing loans, the Loan Acquisition and Servicing Group also estimates the amount that we may realize through collection efforts or foreclosure and sale of the collateral, net of expenses, and the length of time and costs required to complete the collection or foreclosure process in the event a loan becomes non-performing or is non-performing at the time of purchase.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Approvals. </w:t>
      </w:r>
      <w:r>
        <w:rPr>
          <w:rFonts w:ascii="Arial" w:cs="Arial" w:eastAsia="Arial" w:hAnsi="Arial"/>
          <w:sz w:val="18"/>
          <w:szCs w:val="18"/>
          <w:color w:val="auto"/>
        </w:rPr>
        <w:t>All loan purchases must be approved by the Loan Acquisition and Servicing Group Credit Committee. This committee is comprised of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executive management team and senior management from the Loan Acquisition and Servicing Group. The committee discusses all loans on an individual basis. Our credit policy currently requires prior Board approval for the purchase of a loan with an initial investment greater than $10% of the Company’s tier one capital, determined on a relationship basis.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Loan Servicing</w:t>
      </w:r>
      <w:r>
        <w:rPr>
          <w:rFonts w:ascii="Arial" w:cs="Arial" w:eastAsia="Arial" w:hAnsi="Arial"/>
          <w:sz w:val="18"/>
          <w:szCs w:val="18"/>
          <w:color w:val="auto"/>
        </w:rPr>
        <w:t>. We conduct all loan servicing with an in-house team of experienced asset managers who actively manage the loan portfolio. Asset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87"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i w:val="1"/>
          <w:iCs w:val="1"/>
          <w:color w:val="auto"/>
        </w:rPr>
        <w:t xml:space="preserve">Competition for Purchased of Loans. </w:t>
      </w:r>
      <w:r>
        <w:rPr>
          <w:rFonts w:ascii="Arial" w:cs="Arial" w:eastAsia="Arial" w:hAnsi="Arial"/>
          <w:sz w:val="17"/>
          <w:szCs w:val="17"/>
          <w:color w:val="auto"/>
        </w:rPr>
        <w:t>Our Loan Acquisition and Servicing Group competes primarily with community banks, regional banks and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funds operating nationwide. We believe that we have a competitive advantage in bidding against private equity funds on performing loans because those funds generally have higher funding costs and, therefore, higher expectations for return on investment than we do. Furthermore, many private equity funds do not compete for small balance commercial loans and typically pursue larger, bulk transactions.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that we have a competitive advantage in bidding against many banks that purchase commercial loans in the secondary market because we have a specialized group with experience in purchasing commercial real estate loans. Most banks we compete against are community banks looking to acquire loans in their market; these banks usually have specific criteria for their acquisition activities and do not pursue pools with collateral or geographic diversity. We believe that there are a limited number of banks pursuing a similar, nationwide commercial loan acquisition strategy.</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Loan Originations. </w:t>
      </w:r>
      <w:r>
        <w:rPr>
          <w:rFonts w:ascii="Arial" w:cs="Arial" w:eastAsia="Arial" w:hAnsi="Arial"/>
          <w:sz w:val="16"/>
          <w:szCs w:val="16"/>
          <w:color w:val="auto"/>
        </w:rPr>
        <w:t>In addition to purchasing loans, our Loan Acquisition and Servicing Group also originates commercial loans. Capitalizing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loan infrastructure, LASG is in a position to review and act quickly on a variety of lending opportunities. Risk management and due diligence for these loans is similar to that for purchased loans, with the exception of a the appraisal and documentation process, which mirrors more traditional lenders in employing local attorneys and real estate appraisers to assist in the process. We believe that the LASG has an advantage in originating commercial loans because of its ability to utilize in-house staff to quickly and accurately screen loan opportunities and accelerate the underwriting process.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and Investment Advisory Services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over fifteen years, the Bank’s investment brokerage division, Northeast Financial Services (“Northeast Financial”), offered an array of investment and financial planning products and services through the Bank’s branch network. In August of 2013, the Company announced its intention to exit the investment brokerage business. The Company expects that all investment brokerage activities will conclude in the first half of fiscal 2014.</w:t>
      </w:r>
    </w:p>
    <w:p>
      <w:pPr>
        <w:sectPr>
          <w:pgSz w:w="11900" w:h="16866" w:orient="portrait"/>
          <w:cols w:equalWidth="0" w:num="1">
            <w:col w:w="11360"/>
          </w:cols>
          <w:pgMar w:left="240" w:top="125" w:right="29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Investment Activities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securities portfolio and short-term investments provide and maintain liquidity, assist in managing the interest rate sensitivity of our balance sheet, and serve as collateral for certain of our obligations. Individual investment decisions are made based on the credit quality of the investment, liquidity requirements, potential returns, cash flow targets, and consistency with our asset/liability management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Deposits have traditionally been the primary source of the Bank’s funds for lending and other investment purposes. In addition to deposits, the Bank obtains funds from the amortization and prepayment of loans and mortgage-backed securities, the sale, call or maturity of investment securities, advances from the Federal Home Loan Bank of Boston (the “FHLB”), other term borrowings and cash flows generated by operations.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offer a full line of deposit products to customers in western and south-central Maine through our ten-branch network. Our deposit products consist of demand deposit, NOW, money market, savings and certificate of deposit accounts. Our customers access their funds through ATMs, Mastercard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Debit Cards, Automated Clearing House funds (electronic transfers) and checks. We also offer telephone banking, Internet banking, Internet bill payment and remote deposit capture services. Interest rates on our deposits are based upon factors that include prevailing loan demand, deposit maturities, alternative costs of funds, interest rates offered by competing financial institutions and other financial service firms, and general economic conditions. At June 30, 2013, we had core deposits of $476.4 million (of which $367.8 million were generated through the Community Banking Division), representing 98.3% of total deposits. We define core deposits as non-maturity deposits and non-brokered insured time deposits.</w:t>
      </w:r>
    </w:p>
    <w:p>
      <w:pPr>
        <w:spacing w:after="0" w:line="190"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Our online affinity deposit program, ableBanking, provides an additional channel through which to obtain core deposits to support our growth. ablebanking, which was launched in late fiscal 2012 as a division of Northeast Bank, had $71.8 million in money market and time deposits as of June 30, 2013. We also use deposit listing services to gather deposits from time to time, in support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liquidity and asset/liability management objectives. At June 30, 2013, listing service deposits totaled $36.8 million, most of which were 5-year time deposits.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While we currently consider core deposits (defined as non-maturity deposits and non-brokered insured time deposits) as our primary source of funding to support asset growth, advances from the FHLB and other sources of wholesale funding remain an important part of our liquidity contingency planning. Northeast Bank may borrow up to 50.0% of its total assets from the FHLB, and borrowings are typically collateralized by mortgage loans and securities pledged to the FHLB. At June 30, 2013, we had $20.5 million available immediately and an additional $275.9 million, subject to the purchase of additional FHLB stock and the availability of additional collateral, available from the FHLB. Northeast Bank can also borrow from the Federal Reserve Bank of Boston, with any such borrowing collateralized by consumer loans pledged to the Federal Reserve.</w:t>
      </w:r>
    </w:p>
    <w:p>
      <w:pPr>
        <w:spacing w:after="0" w:line="1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the foreseeable future we expect to rely less on borrowings than other banks of similar size, because of our regulatory commitment to fund 100% of our loans with core deposits, although the availability of FHLB and Federal Reserve Bank of Boston advances and other sources of wholesale funding remain an important part of our liquidity contingency planning.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Technology and Operational Enhancements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Over the past few years, we have made investments in technology and customer service to develop the infrastructure to support the Loan Acquisition and Servicing Group, ableBanking, and the Community Banking Division. In addition, we invested in new software, hardware, and staffing to support our growing Customer Contact Center in Lewiston, Maine, and to ensure that we will continue to deliver a high level of personal service to our customers as we grow. We expect that future investments in technology, customer service and operational support functions will generally be proportionate to our growth.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June 30, 2013, the Company employed 210 full-time and 17 part-time employees. The Company’s employees are not represented by any collective bargaining unit. The Company believes that its relations with its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2013, the Bank had four wholly-owned non-bank subsidiaries:</w:t>
      </w:r>
    </w:p>
    <w:p>
      <w:pPr>
        <w:spacing w:after="0" w:line="225" w:lineRule="exact"/>
        <w:rPr>
          <w:sz w:val="20"/>
          <w:szCs w:val="20"/>
          <w:color w:val="auto"/>
        </w:rPr>
      </w:pPr>
    </w:p>
    <w:p>
      <w:pPr>
        <w:ind w:left="700" w:right="140" w:hanging="331"/>
        <w:spacing w:after="0" w:line="277"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Northeast Bank Insurance Group, Inc. (“NBIG”). The insurance agency assets of NBIG were sold on September 1, 2011. The entity currently holds the real estate formerly used in its insurance agency business.</w:t>
      </w:r>
    </w:p>
    <w:p>
      <w:pPr>
        <w:spacing w:after="0" w:line="170" w:lineRule="exact"/>
        <w:rPr>
          <w:rFonts w:ascii="Arial" w:cs="Arial" w:eastAsia="Arial" w:hAnsi="Arial"/>
          <w:sz w:val="18"/>
          <w:szCs w:val="18"/>
          <w:color w:val="auto"/>
        </w:rPr>
      </w:pPr>
    </w:p>
    <w:p>
      <w:pPr>
        <w:ind w:left="660" w:hanging="29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 Elm Realty, LLC, which was established to hold commercial real estate acquired as a result of loan workouts.</w:t>
      </w:r>
    </w:p>
    <w:p>
      <w:pPr>
        <w:spacing w:after="0" w:line="225" w:lineRule="exact"/>
        <w:rPr>
          <w:rFonts w:ascii="Arial" w:cs="Arial" w:eastAsia="Arial" w:hAnsi="Arial"/>
          <w:sz w:val="18"/>
          <w:szCs w:val="18"/>
          <w:color w:val="auto"/>
        </w:rPr>
      </w:pPr>
    </w:p>
    <w:p>
      <w:pPr>
        <w:ind w:left="660" w:hanging="28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 Pine Realty, LLC, which was established to hold residential real estate acquired as a result of loan workouts.</w:t>
      </w:r>
    </w:p>
    <w:p>
      <w:pPr>
        <w:spacing w:after="0" w:line="225" w:lineRule="exact"/>
        <w:rPr>
          <w:rFonts w:ascii="Arial" w:cs="Arial" w:eastAsia="Arial" w:hAnsi="Arial"/>
          <w:sz w:val="18"/>
          <w:szCs w:val="18"/>
          <w:color w:val="auto"/>
        </w:rPr>
      </w:pPr>
    </w:p>
    <w:p>
      <w:pPr>
        <w:ind w:left="660" w:hanging="28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 Dogwood Realty, LLC, which was established to hold commercial real estate acquired as a result of loan workouts.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wholly-owned subsidiary, ASI Data Services, Inc. (ASI), is an inactive corporate subsidiary. ASI initially provided data processing services to the Company and its subsidiaries. The Company’s board transferred the assets and operations of ASI to the Bank in 1996.</w:t>
      </w:r>
    </w:p>
    <w:p>
      <w:pPr>
        <w:sectPr>
          <w:pgSz w:w="11900" w:h="16838" w:orient="portrait"/>
          <w:cols w:equalWidth="0" w:num="1">
            <w:col w:w="11420"/>
          </w:cols>
          <w:pgMar w:left="240" w:top="337" w:right="239" w:bottom="0" w:gutter="0" w:footer="0" w:header="0"/>
        </w:sectPr>
      </w:pPr>
    </w:p>
    <w:bookmarkStart w:id="8" w:name="page9"/>
    <w:bookmarkEnd w:id="8"/>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a bank holding company registered under the Bank Holding Company Act of 1956, as amended (the “BHCA”), the Company is subject to regulation and supervision by the Federal Reserve. As an FDIC-insured Maine-chartered bank and member of the Federal Reserve System, the Bank is subject to regulation and supervision by the Federal Reserve, the Bureau and the FDIC. This regulatory framework is intended to protect depositors, the federal deposit insurance fund, consumers and the banking system as a whole, and not necessarily investors in the Company. The following discussion is qualified in its entirety by reference to the full text of the statutes, regulations, policies and guidelines described below.</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Financial Regulatory Reform Legislation</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comprehensively reformed the regulation of financial institutions, products and services. Among other things, the Dodd-Frank Act:</w:t>
      </w:r>
    </w:p>
    <w:p>
      <w:pPr>
        <w:spacing w:after="0" w:line="170" w:lineRule="exact"/>
        <w:rPr>
          <w:sz w:val="20"/>
          <w:szCs w:val="20"/>
          <w:color w:val="auto"/>
        </w:rPr>
      </w:pPr>
    </w:p>
    <w:p>
      <w:pPr>
        <w:ind w:left="660" w:right="2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grants the Federal Reserve increased supervisory authority and codifies the source of strength doctrine, as discussed in more detail in “—Source of Strength” below;</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provides for new capital standards applicable to the Company, as discussed in more detail in “—Capital Adequacy and Safety and Soundness— Regulatory Capital Requirements” below;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modifies deposit insurance coverage, as discussed in “—Capital Adequacy and Safety and Soundness—Deposit Insurance” below;</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bars banking organizations, such as the Company, from engaging in proprietary trading and from sponsoring and investing in hedge funds and private equity funds, except as permitted under certain limited circumstances, as discussed in “—Bank Holding Company Regulation” below;</w:t>
      </w:r>
    </w:p>
    <w:p>
      <w:pPr>
        <w:spacing w:after="0" w:line="146" w:lineRule="exact"/>
        <w:rPr>
          <w:rFonts w:ascii="Arial" w:cs="Arial" w:eastAsia="Arial" w:hAnsi="Arial"/>
          <w:sz w:val="17"/>
          <w:szCs w:val="17"/>
          <w:color w:val="auto"/>
        </w:rPr>
      </w:pPr>
    </w:p>
    <w:p>
      <w:pPr>
        <w:ind w:left="660" w:right="20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new corporate governance and proxy disclosure requirements, as discussed in “—Corporate Governance and Executive Compensation” below;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the Bureau of Consumer Financial Protection (the “CFPB”), as discussed in “—Consumer Protection Regulation” below;</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new minimum mortgage underwriting standards for residential mortgages, as discussed in “—Mortgage Reform” below;</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authorizes the Federal Reserve to regulate interchange fees for debit card transactions;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permits the payment of interest on business demand deposit accounts;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established and empowered the Financial Stability Oversight Council to designate certain activities as posing a risk to the U.S. financial system and recommend new or heightened standards and safeguards for financial institutions engaging in such activities; and</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established the Office of Financial Research, which has the power to require reports from financial services companies such as the Company.</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Bank Holding Company Regulation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a bank holding company becomes a financial holding company under the Gramm-Leach-Bliley Act (“GLBA”) as discussed below, the BHCA prohibits (with the exceptions noted below in this paragraph) a bank holding company from acquiring a direct or indirect interest in or control of more than 5% of the voting shares of any company that is not a bank or a bank holding company. The BHCA requires every bank holding company to obtain the prior approval of the Federal Reserve before it may acquire substantially all of the assets of any bank, or ownership or control of any voting shares of a bank, if, after such acquisition, it would own or control, directly or indirectly, more than 5% of the voting stock of such bank. In addition, the BHCA prohibits a bank holding company from engaging directly or indirectly in activities other than those of banking, managing or controlling banks or furnishing services to its subsidiary banks. However, a bank holding company may engage in, and may own shares of companies engaged in certain activities, that the Federal Reserve determines to be so closely related to banking or managing and controlling banks so as to be incident thereto. In making such determinations, the Federal Reserve is required to weigh the expected benefit to the public, including such factors as greater convenience, increased competition or gains in efficiency, against the possible adverse effects, such as undue concentration of resources, decreased or unfair competition, conflicts of interests or unsafe or unsound banking practices.</w:t>
      </w:r>
    </w:p>
    <w:p>
      <w:pPr>
        <w:spacing w:after="0" w:line="1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GLBA, bank holding companies are permitted to offer their customers virtually any type of service that is financial in nature or incidental thereto, including banking, securities underwriting, insurance (both underwriting and agency), and merchant banking. Under the Dodd-Frank Act, however, a bank holding company and its affiliates are prohibited from engaging in proprietary trading and from sponsoring and investing in hedge funds and private equity funds, expect as permitted under certain limited circumstances. In order to engage in financial activities under GLBA, a bank holding company must qualify and register with the Federal Reserve 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 “financial holding company” by demonstrating that each of its bank subsidiaries is “well capitalized”, “well managed,” and has at least a “satisfactory” rating under the Community Reinvestment Act of 1977 (“CRA”). Although the Company believes that it meets the qualifications to become a financial holding company under GLBA, it has not elected “financial holding company” status, but rather to retain its pre-GLBA bank holding company regulatory status for the present time.</w:t>
      </w:r>
    </w:p>
    <w:p>
      <w:pPr>
        <w:sectPr>
          <w:pgSz w:w="11900" w:h="16912" w:orient="portrait"/>
          <w:cols w:equalWidth="0" w:num="1">
            <w:col w:w="11420"/>
          </w:cols>
          <w:pgMar w:left="240" w:top="125" w:right="239" w:bottom="0" w:gutter="0" w:footer="0" w:header="0"/>
        </w:sectPr>
      </w:pPr>
    </w:p>
    <w:bookmarkStart w:id="9" w:name="page10"/>
    <w:bookmarkEnd w:id="9"/>
    <w:p>
      <w:pPr>
        <w:spacing w:after="0" w:line="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required by the BHCA to file an annual report and additional reports required with the Federal Reserve. The Federal Reserve also makes periodic inspections of the Company and its subsidiaries.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a legal entity separate and distinct from the Bank. The revenue of the Company (on a parent company only basis) is derived primarily from interest and dividends paid to it by the Bank. The right of the Company, and consequently the right of shareholders of the Company, to participate in any distribution of the assets or earnings of the Bank through the payment of such dividends or otherwise is necessarily subject to the prior claims of creditors of the Bank (including depositors), except to the extent that certain claims of the Company in a creditor capacity may be recognized.</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the policy of the Federal Reserve that bank holding companies should pay dividends only out of current earnings and only if, after paying such dividends, the bank holding company would remain adequately capitalized. The Federal Reserve has the authority to prohibit a bank holding company, such as the Company, from paying dividends if it deems such payment to be an unsafe or unsound practice.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Federal Reserve has the authority to use its enforcement powers to prohibit a bank from paying dividends if, in its opinion, the payment of dividends would constitute an unsafe or unsound practice. Federal law also prohibits the payment of dividends by a bank that will result in the bank failing to meet its applicable capital requirements on a pro forma basis. Maine law requires the approval of the BFI for any dividend that would reduce a bank’s capital below prescribed limits.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Dodd-Frank Act, the Company is required to serve as a source of financial strength for the Bank in the event of the financial distress of the Bank. This provision codifies the longstanding policy of the Federal Reserve. In addition, any capital loans by a bank holding company to any of its bank subsidiaries are subordinate to the payment of deposits and to certain other indebtedness. In the event of a bank holding company’s bankruptcy, any commitment by the bank holding company to a federal bank regulatory agency to maintain the capital of a bank subsidiary will be assumed by the bankruptcy trustee and entitled to a priority of payment.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Certain Transactions by Bank Holding Companies with their Affiliates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are various statutory restrictions on the extent to which bank holding companies and their non-bank subsidiaries may borrow, obtain credit from or otherwise engage in “covered transactions” with their insured depository institution subsidiaries. The Dodd-Frank Act amended the definition of affiliate to include an investment fund for which the depository institution or one of its affiliates is an investment adviser. An insured depository institution (and its subsidiaries) may not lend money to, or engage in covered transactions with, its non-depository institution affiliates if the aggregate amount of covered transactions outstanding involving the bank, plus the proposed transaction exceeds the following limits: (a) in the case of any one such affiliate, the aggregate amount of covered transactions of the insured depository institution and its subsidiaries cannot exceed 10% of the capital stock and surplus of the insured depository institution; and (b) in the case of all affiliates, the aggregate amount of covered transactions of the insured depository institution and its subsidiaries cannot exceed 20% of the capital stock and surplus of the insured depository institution. For this purpose, “covered transactions” are defined by statute to include a loan or extension of credit to an affiliate, a purchase of or investment in securities issued by an affiliate, a purchase of assets from an affiliate unless exempted by the Federal Reserve, the acceptance of securities issued by an affiliate as collateral for a loan or extension of credit to any person or company, the issuance of a guarantee, acceptance or letter of credit on behalf of an affiliate, securities borrowing or lending transactions with an affiliated that creates a credit exposure to such affiliate, or a derivatives transaction with an affiliate that creates a credit exposure to such affiliate. Covered transactions are also subject to certain collateral security requirements. Covered transactions as well as other types of transactions between a bank and a bank holding company must be on market terms and not otherwise unduly favorable to the holding company or an affiliate of the holding company. Moreover, Section 106 of the BHCA provides that, to further competition, a bank holding company and its subsidiaries are prohibited from engaging in certain tying arrangements in connection with any extension of credit, lease or sale of property of any kind, or furnishing of any service.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Regulation of the Bank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Maine-chartered bank and member of the Federal Reserve System, the Bank is subject to the supervision of and regulation by the BFI and the Federal Reserve. Additionally, the Bank is subject to the regulation and supervision of the FDIC as the Bank’s insurer of deposits. This supervision and regulation is for the protection of depositors, the FDIC’s Deposit Insurance Fund (“DIF”), and consumers, and is not for the protection of the Company’s shareholders. The prior approval of the Federal Reserve and the BFI is required, among other things, for the Bank to establish or relocate an additional branch office, assume deposits, or engage in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merger, consolidation, purchase or sale of all or substantially all of the assets of any bank. Under the Dodd-Frank Act, the Federal Reserve may directly examine the subsidiaries of the Company, including the Bank.</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Capital Adequacy and Safety and Soundness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Regulatory Capital Requirements</w:t>
      </w:r>
      <w:r>
        <w:rPr>
          <w:rFonts w:ascii="Arial" w:cs="Arial" w:eastAsia="Arial" w:hAnsi="Arial"/>
          <w:sz w:val="18"/>
          <w:szCs w:val="18"/>
          <w:color w:val="auto"/>
        </w:rPr>
        <w:t>. The Federal Reserve has issued risk-based and leverage capital guidelines applicable to United States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In addition, the Federal Reserve may from time to time require that a banking organization maintain capital above the minimum levels, due to the banking organization’s financial condition or actual or anticipated growth.</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Current Federal Reserve risk-based guidelines define a three-tier capital framework. Tier 1 capital for bank holding companies generally consists of the sum of common stockholders’ equity, perpetual preferred stock and trust preferred securities (both subject to certain limitations and, in the case of the latter, to specific limitations on the kind and amount of such securities which may be included as Tier 1 capital and certain additional restrictions described below), and minority interests in the equity accounts of consolidated subsidiaries, less goodwill and other non-qualifying intangible assets. Pursuant to the Dodd-Frank Act, trust preferred securities issued after May 19, 2010, will not count as Tier 1 capital; however, under the Dodd-Frank Act, the Company’s currently outstanding trust preferred securities were grandfathered for Tier 1 eligibility. Tier 2 capital generally consists of hybrid capital instruments, perpetual debt and mandatory convertible debt securities; perpetual preferred stock and trust preferred securities, to the extent it is not eligible to be included as Tier 1</w:t>
      </w:r>
    </w:p>
    <w:p>
      <w:pPr>
        <w:sectPr>
          <w:pgSz w:w="11900" w:h="16865" w:orient="portrait"/>
          <w:cols w:equalWidth="0" w:num="1">
            <w:col w:w="11420"/>
          </w:cols>
          <w:pgMar w:left="240" w:top="341" w:right="239" w:bottom="0" w:gutter="0" w:footer="0" w:header="0"/>
        </w:sectPr>
      </w:pPr>
    </w:p>
    <w:bookmarkStart w:id="10" w:name="page11"/>
    <w:bookmarkEnd w:id="10"/>
    <w:p>
      <w:pPr>
        <w:spacing w:after="0" w:line="3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capital; term subordinated debt and intermediate-term preferred stock; and, subject to limitations, general allowances for loan losses. The sum of Tier 1 and Tier 2 capital less certain required deductions, such as investments in unconsolidated banking or finance subsidiaries, represents qualifying total capital. Risk-based capital ratios are calculated by dividing Tier 1 and total capital, respectively, by risk-weighted assets. Assets and off-balance sheet credit equivalents are assigned to one of four categories of risk-weights, based primarily on relative credit risk. The minimum Tier 1 risk-based capital ratio is 4% and the minimum total risk-based capital ratio is 8%. As of June 30, 2013, the Company’s Tier 1 risk-based capital ratio was 27.29% and its total risk-based capital ratio was 27.54%. The Company is currently considered “well capitalized” under all regulatory definitions.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 The Company’s leverage capital ratio as of June 30, 2013 was 17.78%.</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Federal Reserve’s capital adequacy standards also apply to state-chartered banks which are members of the Federal Reserve System, such as the Bank. Moreover, the Federal Reserve has promulgated corresponding regulations to implement the system of prompt corrective action established by Section 38 of the Federal Deposit Insurance Act (“FDIA”). Under these regulations, a bank is “well capitalized” if it has: (i) a total risk-based capital ratio of 10.0% or greater; (ii) a Tier 1 risk-based capital ratio of 6.0% or greater; (iii) a leverage capital ratio of 5.0% or greater; and (iv) is not subject to any written agreement, order, capital directive or prompt corrective action directive to meet and maintain a specific capital level for any capital measure. A bank is “adequately 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7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Federal Reserve also must take into consideration: (i) concentrations of credit risk; (ii) interest rate risk; and (iii) risks from non-traditional activities, as well as an institution’s ability to manage those risks, when determining the adequacy of an institution’s capital. This evaluation will be made as a part of the institution’s regular safety and soundness examination. The Bank is currently considered well-capitalized under all regulatory definitions.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Generally, a bank, upon receiving notice that it is not adequately capitalized (i.e., that it is “undercapitalized”), becomes subject to the prompt corrective action provisions of Section 38 of FDIA that, for example, (i) restrict payment of capital distributions and management fees, (ii) require that the Federal Reserve monitor the condition of the institution and its efforts to restore its capital, (iii) require submission of a capital restoration plan, (iv) restrict the growth of the institution’s assets and (v) require prior regulatory approval of certain expansion proposals. A bank that is required to submit a capital restoration plan must concurrently submit a performance guarantee by each company that controls the bank. A bank that is “critically undercapitalized” (i.e., has a ratio of tangible equity to total assets that is equal to or less than 2.0%) will be subject to further restrictions, and generally will be placed in conservatorship or receivership within 90 days.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Basel Committee on Banking Supervision has also released new capital requirements, known as Basel III, setting forth higher capital requirements, enhanced risk coverage, a global leverage ratio, provisions for counter-cyclical capital, and liquidity standards. On July 2, 2013, the Federal Reserve, along with the other federal banking agencies, issued a final rule (the “Final Capital Rule”) implementing the Basel III capital standards and establishing the minimum capital requirements for banks and bank holding companies required under the Dodd-Frank Act. The majority of the provisions of the Final Capital Rule apply to bank holding companies and banks with consolidated assets of $500 million or more, such as the Company and the Bank. The Final Capital Rule establishes a new capital risk-based capital ratio, a minimum common equity Tier 1 capital ratio of 6.5% of risk-weighted assets to be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“well capitalized” institution, and increase the minimum total Tier 1 capital ratio to be a “well capitalized institution from 6.0% to 8.0%. Additionally, the Final Capital Rule requires that an institution establish a capital conservation buffer of common equity Tier 1 capital in an amount above the minimum risk-based capital requirements equal to 2.5% of total risk weight assets. The Final Capital Rule revises certain capital definitions and generally makes the capital requirements more stringent. Further, the Final Capital Rule increases the required capital for certain categories of assets, including higher-risk construction real estate loans and certain exposures related to securitizations. Under the Final Capital Rule, the Company may make a one-time, permanent election to continue to exclude accumulated other comprehensive income from capital. If the Company does not make this election, unrealized gains and losses would be included in the calculation of its regulatory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comply with the Final Capital Rule beginning on January 1, 2015.</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Deposit Insurance. </w:t>
      </w:r>
      <w:r>
        <w:rPr>
          <w:rFonts w:ascii="Arial" w:cs="Arial" w:eastAsia="Arial" w:hAnsi="Arial"/>
          <w:sz w:val="17"/>
          <w:szCs w:val="17"/>
          <w:color w:val="auto"/>
        </w:rPr>
        <w:t>Substantially all of the deposits of the Bank are insured up to applicable limits by the DIF and are subject to deposit insurance assessments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the DIF. The FDIA, as amended by the Federal Deposit Insurance Reform Act and the Dodd-Frank Act, requires the FDIC to set a ratio of deposit insurance reserves to estimated insured deposits of the Bank are insured up to applicable limits by the DIF and are subject to deposit insurance premiums based upon a risk matrix that takes into account a bank’s capital level and supervisory rating (“CAMELS rating”). CAMELS ratings reflect the applicable bank regulatory agency to applicable limits by the DIF and are subject to deposit, management, earnings, liquidity and sensitivity to risk. Assessment rates may also vary for certain institutions based on long-term debt issuer ratings, secured or brokered deposits. Pursuant to the Dodd-Frank Act, deposit premiums are based on assets rather than insurable deposits. To determine its actual deposit insurance premiums, the Bank computes the base amount on its average consolidated assets less its average tangible equity (defined as the amount of Tier 1 capital) and its applicable assessment rate. Assessment rates range from 2.5 to 9 basis points on the broader assessment base for banks in the lowest risk category up to 30 to 45 basis points for banks in the highest risk category.</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Dodd-Frank Act, FDIC deposit insurance has been permanently increased from $100,000 to $250,000 per depositor. On December 31, 2012, unlimited FDIC insurance on noninterest-bearing transaction accounts under the Dodd-Frank Act expired.</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Safety and Soundness Standard. </w:t>
      </w:r>
      <w:r>
        <w:rPr>
          <w:rFonts w:ascii="Arial" w:cs="Arial" w:eastAsia="Arial" w:hAnsi="Arial"/>
          <w:sz w:val="16"/>
          <w:szCs w:val="16"/>
          <w:color w:val="auto"/>
        </w:rPr>
        <w:t>The FDIA requires the federal bank regulatory agencies to prescribe standards, by regulations or guidelines,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Guidelines adopted by the federal bank regulatory agencies establish general standards relating to internal controls and information systems, internal audit</w:t>
      </w:r>
    </w:p>
    <w:p>
      <w:pPr>
        <w:sectPr>
          <w:pgSz w:w="11900" w:h="16877" w:orient="portrait"/>
          <w:cols w:equalWidth="0" w:num="1">
            <w:col w:w="11420"/>
          </w:cols>
          <w:pgMar w:left="240" w:top="125" w:right="239" w:bottom="0" w:gutter="0" w:footer="0" w:header="0"/>
        </w:sectPr>
      </w:pPr>
    </w:p>
    <w:bookmarkStart w:id="11" w:name="page12"/>
    <w:bookmarkEnd w:id="11"/>
    <w:p>
      <w:pPr>
        <w:spacing w:after="0" w:line="2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stockholder. In addition, the federal banking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FDIA. See “—Regulatory Capital Requirements” above. If an institution fails to comply with such an order, the agency may seek to enforce such order in judicial proceedings and to impose civil money penalties.</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Depositor Preference. </w:t>
      </w:r>
      <w:r>
        <w:rPr>
          <w:rFonts w:ascii="Arial" w:cs="Arial" w:eastAsia="Arial" w:hAnsi="Arial"/>
          <w:sz w:val="18"/>
          <w:szCs w:val="18"/>
          <w:color w:val="auto"/>
        </w:rPr>
        <w:t>The FDIA provides that, in the event of the “liquidation or other resolution” of an insured depository institution, the claims of</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Real Estate Lending Standards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Federal Deposit Insurance Corporation Improvement Act requires the federal bank regulatory agencies to adopt uniform real estate lending standards. The Federal Reserve has adopted regulations, which establish supervisory limitations on loan-to-value (“LTV”) ratios in real estate loans by state-chartered banks that are members of the Federal Reserve System, such as the Bank. The regulations require banks to establish LTV ratio limitations within or below the prescribed uniform range of supervisory limits.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Activities and Investments of Insured State Banks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powers of a Maine-chartered bank, such as the Bank, include provisions designed to provide Maine banks with competitive equity to the powers of national banks. GLBA includes a section of the FDIA governing subsidiaries of state banks that engage in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principal that would only be permissible” for a national bank to conduct in a financial subsidiary. This provision permits state banks, to the extent permitted under state law, to engage in certain new activities, which are permissible for subsidiaries of a financial holding company. Further, it expressly preserves the ability of a state bank to retain all existing subsidiaries. Because Maine law explicitly permits banks chartered by the state to engage in all activities permissible for federally-chartered banks, the Bank is permitted to form subsidiaries to engage in the activities authorized by GLBA. In order to form a financial subsidiary, a state bank must be well-capitalized, and the state bank would be subject to certain capital deduction, risk management and affiliate transaction rules.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Company and the Bank are subject to a number of federal and state laws designed to protect consumers and prohibit unfair or deceptive business practices. These laws include the Equal Credit Opportunity Act, the Fair Housing Act, Home Ownership Protection Act, the Fair Credit Reporting Act, as amended by the Fair and Accurate Credit Transactions Act of 2003 (“FACT Act”), GLBA, the Truth in Lending Act, CRA, the Home Mortgage Disclosure Act, the Real Estate Settlement Procedures Act, the National Flood Insurance Act and various state law counterparts. These laws and regulations mandate certain disclosure requirements and regulate the manner in which financial institutions must interact with customers when taking deposits, making loans, collecting loans and providing other services. Further, the Dodd-Frank Act established the CFPB, which has the responsibility for making rules and regulations under the federal consumer protection laws relating to financial products and services. The CFPB also has a broad mandate to prohibit unfair or deceptive acts and practices and is specifically empowered to require certain disclosures to consumers and draft model disclosure forms. Failure to comply with consumer protection laws and regulations can subject financial institutions to enforcement actions, fines and other penalties. The Federal Reserve examines the Bank for compliance with CFPB rules and enforces CFPB rules with respect to the Bank.</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Mortgage Reform</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Dodd-Frank Act prescribes certain standards that mortgage lenders must consider before making a residential mortgage loan, including verifying a borrower’s ability to repay such mortgage loan. The Dodd-Frank Act also allows borrowers to assert violations of certain provisions of the Truth-in-Lending Act as a defense to foreclosure proceedings. Under the Dodd-Frank Act, prepayment penalties are prohibited for certain mortgage transactions and creditors are prohibited from financing insurance policies in connection with a residential mortgage loan or home equity line of credit. The Dodd-Frank Act requires mortgage lenders to make additional disclosures prior to the extension of credit, in each billing statement and for negative amortization loans and hybrid adjustable rate mortgages. Additionally, the Dodd-Frank Act prohibits mortgage originators from receiving compensation based on the terms of residential mortgage loans and generally limits the ability of a mortgage originator to be compensated by others if compensation is received from a consumer.</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Privacy and Customer Information Security</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GLBA requires financial institutions to implement policies and procedures regarding the disclosure of nonpublic personal information about consumers to nonaffiliated third parties. In general, the Bank must provide its customers with an annual disclosure that explains its policies and procedures regarding the disclosure of such nonpublic personal information and, except as otherwise required or permitted by law, the Bank is prohibited from disclosing such information except as provided in such policies and procedures. GLBA also requires that the Bank develop, implement and maintain a comprehensive written information security program designed to ensure the security and confidentiality of customer information (as defined under GLBA), to protect against anticipated threats or hazards to the security or integrity of such information; and to protect against unauthorized access to or use of such information that could result in substantial harm or inconvenience to any customer. The Bank is also required to send a notice to customers whose “sensitive information” has been compromised if unauthorized use of this information is “reasonably possible.” Most states, including Maine, have enacted legislation concerning breaches of data security and the duties of the Bank in response to a data breach. Congress continues to consider federal legislation that would require</w:t>
      </w:r>
    </w:p>
    <w:p>
      <w:pPr>
        <w:sectPr>
          <w:pgSz w:w="11900" w:h="16865" w:orient="portrait"/>
          <w:cols w:equalWidth="0" w:num="1">
            <w:col w:w="11420"/>
          </w:cols>
          <w:pgMar w:left="240" w:top="125" w:right="239" w:bottom="0" w:gutter="0" w:footer="0" w:header="0"/>
        </w:sectPr>
      </w:pPr>
    </w:p>
    <w:bookmarkStart w:id="12" w:name="page13"/>
    <w:bookmarkEnd w:id="12"/>
    <w:p>
      <w:pPr>
        <w:spacing w:after="0" w:line="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consumer notice of data security breaches. Pursuant to the FACT Act, the Bank must also develop and implement a written identity theft prevention program to detect, prevent, and mitigate identity theft in connection with the opening of certain accounts or certain existing accounts. Additionally, the FACT Act amends the Fair Credit Reporting Act to generally prohibit a person from using information received from an affiliate to make a solicitation for marketing purposes to a consumer, unless the consumer is given notice and a reasonable opportunity and a reasonable and simple method to opt out of the making of such solicitations.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Regulatory Enforcement Authority</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enforcement powers available to the federal banking agencies include, among other things, the ability to assess civil money penalties, to issue cease and desist or removal orders and to initiate injunctive actions against banking organizations and institution-affiliated parties, as defined. In general, these enforcement actions may be initiated for violations of law and regulations and unsafe or unsound practices. Other actions or inactions may provide the basis for enforcement action, including misleading or untimely reports filed with regulatory authorities. Under certain circumstances, federal and state law requires public disclosure and reports of certain criminal offenses and also final enforcement actions by the federal banking agencies.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Pursuant to the CRA, regulatory authorities review the performance of the Bank in meeting the credit needs of the communities it serves. The applicable regulatory authorities consider compliance with this law in connection with the applications for, among other things, approval for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branch relocations and acquisitions of banks and bank holding companies. The Bank received a “satisfactory” rating at its CRA examination dated June 10, 2013, its most recent exam.</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Failure of an institution to receive at least a “satisfactory” rating could inhibit such institution or its holding company from undertaking certain activities, including engaging in activities newly permitted as a financial holding company under GLBA, and acquisitions of other financial institutions. The Federal Reserve must take into account the record of performance of banks in meeting the credit needs of the entire community served, including low- and moderate-income neighborhoods. Current CRA regulations for large banks primarily rely on objective criteria of the performance of institutions under three key assessment tests: a lending test, a service test and an investment test. For smaller banks, current CRA regulations primarily evaluate the performance of institutions under two key assessment tests: a lending test and a community development test. The Company is committed to meeting the existing or anticipated credit needs of its entire community, including low- and moderate-income neighborhoods, consistent with safe and sound banking operations.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Branching and Acquisitions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Riegle-Neal Interstate Banking and Branching Efficiency Act of 1994, as amended (“Riegle-Neal”) and the Dodd-Frank Act permit well capitalized and well managed bank holding companies, as determined by the Federal Reserve, to acquire banks in any state subject to certain concentration limits and other conditions. Riegle-Neal also generally authorizes the interstate merger of banks. In addition, among other things, Riegle-Neal and the Dodd-Frank Act permit banks to establish new branches on an interstate basis to the same extent a bank chartered by the host state may establish branches. Bank holding companies and banks are required to obtain prior Federal Reserve approval to acquire more than 5% of a class of voting securities, or substantially all of the assets, of a bank holding company, bank or savings association.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Anti-Money Laundering and the Bank Secrecy Act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Bank Secrecy Act (“BSA”), a financial institution is required to have systems in place to detect certain transactions, based on the size and nature of the transaction. Financial institutions are generally required to report to the United States Treasury any cash transactions involving more than $10 thousand. In addition, financial institutions are required to file suspicious activity reports for transactions that involve more than $5 thousand and which the financial institution knows, suspects or has reason to suspect involves illegal funds, is designed to evade the requirements of the BSA or has no lawful purpose. The Uniting and Strengthening America by Providing Appropriate Tools Required to Intercept and Obstruct Terrorism Act of 2001 (the “USA PATRIOT Act”), which amended the BSA, is designed to deny terrorists and others the ability to obtain anonymous access to the U.S. financial system. The USA PATRIOT Act has significant implications for financial institutions and businesses of other types involved in the transfer of money. The USA PATRIOT Act, together with the implementing regulations of various federal regulatory agencies, has caused financial institutions, such as the Bank, to adopt and implement additional policies or amend existing policies and procedures with respect to, among other things, anti-money laundering compliance, suspicious activity, currency transaction reporting, customer identity verification and customer risk analysis. In evaluating an application under Section 3 of the BHCA to acquire a bank or an application under the Bank Merger Act to merge banks or affect a purchase of assets and assumption of deposits and other liabilities, the applicable federal banking regulator must consider the anti-money laundering compliance record of both the applicant and the target.</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United States has imposed economic sanctions that affect transactions with designated foreign countries, nationals and others. These sanctions, which are administered by the Treasury Office of Foreign Assets Control (“OFAC”),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(for example, property and bank deposits) cannot be paid out, withdrawn, set off or transferred in any manner without a license from OFAC.</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Federal Home Loan Bank System</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Bank is a member of the Federal Home Loan Bank of Boston (the “FHLBB”), which is one of the regional Federal Home Loan Banks comprising the Federal Home Loan Bank System. Each Federal Home Loan Bank provides a central credit facility primarily for member institutions. Member institutions are required to acquire and hold shares of capital stock in the FHLBB in an amount at least equal to the sum of 0.35% of the aggregate principal amount of its unpaid residential mortgage loans and similar obligations at the beginning of each year and 4.5% of its advances (borrowings) from the FHLBB. The Bank was in compliance with this requirement with an investment in FHLBB stock as of June 30, 2013 of $4.2 million. The Bank receives dividends on its FHLBB stock. The FHLBB has recently declared dividends equal to an annual yield of approximately the daily average three-month LIBOR yield for the quarter for which the dividend has been declared. Dividend income on FHLBB stock of $20 thousand was recorded during the most recent fiscal year.</w:t>
      </w:r>
    </w:p>
    <w:p>
      <w:pPr>
        <w:sectPr>
          <w:pgSz w:w="11900" w:h="16865" w:orient="portrait"/>
          <w:cols w:equalWidth="0" w:num="1">
            <w:col w:w="11400"/>
          </w:cols>
          <w:pgMar w:left="240" w:top="125" w:right="259" w:bottom="0" w:gutter="0" w:footer="0" w:header="0"/>
        </w:sectPr>
      </w:pPr>
    </w:p>
    <w:bookmarkStart w:id="13" w:name="page14"/>
    <w:bookmarkEnd w:id="13"/>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Any advances from the FHLBB must be secured by specified types of collateral, and long-term advances may be used for the purpose of providing funds for residential housing finance, commercial lending and to purchase investments. Long term advances may also be used to help manage interest rate risk for asset and liability management purposes. As of June 30, 2013, the Bank had $27.5 million in outstanding FHLBB advances.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risks and uncertainties, together with all other information in this prospectus, including our consolidated financial statements and related notes, before investing in our common stock. Any of the risk factors we describe below could adversely affect our business, financial condition or results of operations. The trading price of our voting common stock could decline if one or more of these risks or uncertainties actually occurs, causing you to lose all or part of your investment. Certain statements below are forward-looking statements. See “A Note About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successful in the implementation of our business strategy.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Following our merger with FHB Formation LLC in December 2010, we substantially revised our business strategy to include the building of a Loan Acquisition and Servicing Group to grow our loan portfolio and the introduction of an online affinity savings program, known as “ableBanking,” to grow our core deposits. Our ability to develop and offer new products and services depends, in part, on whether we can hire and retain enough suitably experienced and talented employees, identify suitable loans for purchase at attractive prices, identify enough suitable deposit customers, successfully build the systems and obtain the other resources necessary for creating the new product and service offerings. We may not be able to do so, or, doing so may be more expensive, or take longer, than we expect. Our experience with each of these initiatives is limited.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subject to regulatory conditions that could constrain our ability to grow our loan acquisition business.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conjunction with the regulatory approvals received for the merger with FHB Formation LLC, we committed to maintain a Tier 1 leverage ratio of at least 10%, fund 100% of our loans with core deposits, limit purchased loans to 40% of total loans and hold commercial real estate loans to within 300% of total risk-based capital. Core deposits, for purposes of this commitment, are defined as non-brokered non-maturity deposits and non-brokered insured time deposits. At June 30, 2013, the ratio of our purchased loans to total loans was 37.6%. Our ability to purchase loans will be dependent on our ability to grow our originated loan portfolio. To the extent our ability to originate loans is constrained by market forces or for any other reason, our ability to execute our loan acquisition strategy would be similarly constrained.</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not be able to grow our core deposits through ableBanking, or doing so may be more expensive or take longer than we expect.</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online affinity deposit program, ableBanking, was launched in the fourth quarter of fiscal 2012 to provide an additional channel through which to obtain core deposits to support our growth. Our strategy with regard to ableBanking, which through June 30, 2013 had generated $71.8 million in deposits, is not yet mature and there can be no assurance that we will be able to continue to grow core deposits through ableBanking at the rate we anticipate, or that in obtaining such deposits, we will not be forced to price products on less advantageous terms to retain or attract clients, which would adversely affect our profitability. One of the commitments that we made in connection with securing the regulatory approvals for our merger with FHB Formation LLC is that we must fund 100% of our loans with core deposits. To the extent that we are unable to grow our core deposits, our ability to achieve loan growth would be constrained.</w:t>
      </w:r>
    </w:p>
    <w:p>
      <w:pPr>
        <w:spacing w:after="0" w:line="18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b w:val="1"/>
          <w:bCs w:val="1"/>
          <w:i w:val="1"/>
          <w:iCs w:val="1"/>
          <w:color w:val="auto"/>
        </w:rPr>
        <w:t>We may not be able to attract and retain qualified key employees, which could adversely affect our business prospects, including our competitive position and results of operations.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success in implementing our business plan, especially our loan purchasing business, is dependent upon our ability to attract and retain highly skilled individuals. There is significant competition for those individuals with the experience and skills required to conduct many of our business activities. We may not be able to hire or retain the key personnel that we depend upon for success. Since our merger with FHB Formation LLC in December 2010, we have hired ten senior employees to work in our Loan Acquisition and Servicing Group. The unexpected loss of services of one or more of these or other key personnel could have a material adverse impact on our business because of their skills, knowledge of the markets in which we operate, years of industry experience and the difficulty of promptly finding qualified replacement personnel.</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If our allowance for loan losses is not sufficient to absorb actual losses or if we are required to increase our allowance, our financial condition and results of operations could be adversely affected.</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exposed to the risk that our borrowers may default on their obligations. A borrower’s default on its obligations under one or more loans of the Bank may result in lost principal and interest income and increased operating expenses as a result of the allocation of management time and resources to the collection and work-out of the loan. In certain situations, where collection efforts are unsuccessful or acceptable work-out arrangements cannot be reached, the Bank may have to write off the loan in whole or in part. In such situations, the Bank may acquire real estate or other assets, if any, that secure the loan through foreclosure or other similar available remedies, and often the amount owed under the defaulted loan exceeds the value of the assets acquired.</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periodically make a determination of an allowance for loan losses based on available information, including, but not limited to, our historical loss experience, the quality of the loan portfolio, certain economic conditions, the value of the underlying collateral,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74" w:orient="portrait"/>
          <w:cols w:equalWidth="0" w:num="1">
            <w:col w:w="11400"/>
          </w:cols>
          <w:pgMar w:left="240" w:top="341" w:right="259" w:bottom="0" w:gutter="0" w:footer="0" w:header="0"/>
        </w:sectPr>
      </w:pPr>
    </w:p>
    <w:bookmarkStart w:id="14" w:name="page15"/>
    <w:bookmarkEnd w:id="1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expected cash flows from purchased loans, and the level of non-accruing and criticized loans. We rely on our loan quality reviews, our experience and our evaluation of economic conditions, among other factors, in determining the amount of provision required for the allowance for loan losses. Provisions to this allowance result in an expense for the period. If, as a result of general economic conditions, previously incorrect assumptions, or an increase in defaulted loans, we determine that additional increases in the allowance for loan losses are necessary, we will incur additional expenses.</w:t>
      </w:r>
    </w:p>
    <w:p>
      <w:pPr>
        <w:spacing w:after="0" w:line="17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Determining the allowance for loan losses inherently involves a high degree of subjectivity and requires us to make significant estimates of current credit risks and future trends, all of which may undergo material changes. At any time, there are likely to be loans in our portfolio that will result in losses but that have not been identified as nonperforming or potential problem credits. We cannot be sure that we will be able to identify deteriorating credits before they become nonperforming assets or that we will be able to limit losses on those loans that are identified. We have in the past been, and in the future may be, required to increase our allowance for loan losses for any of several reasons. State and federal regulators, in reviewing our loan portfolio as part of a regulatory examination, may request that we increase our allowance for loan losses. Changes in economic conditions affecting borrowers, new information regarding existing loans, identification of additional problem loans and other factors, both within and outside of our control, may require an increase in our allowance for loan losses. In addition, if charge-offs in future periods exceed those estimated in our determination of our allowance for loan losses, we will need additional increases in our allowance for loan losses. Any increases in our allowance for loan losses will result in a decrease in our net income and, possibly, our capital, and could have an adverse effect on our financial condition and results of operations.</w:t>
      </w:r>
    </w:p>
    <w:p>
      <w:pPr>
        <w:spacing w:after="0" w:line="16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A significant portion of loans held in our loan portfolio were originated by third parties, and such loans may not have been subject to the same level of due diligence that Northeast Bank would have conducted had it originated the loans.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At June 30, 2013, 38% of the loans held in our loan portfolio were originated by third parties, and therefore may not have been subject to the same level of due diligence that Northeast Bank would have conducted had it originated the loans. Although the Loan Acquisition and Servicing Group conducts a comprehensive review of all loans that it purchases, loans originated by third parties may lack current financial information and may have incomplete legal documentation and outdated appraisals. As a result, the Loan Acquisition and Servicing Group may not have information with respect to an acquired loan which, if known at the time of acquisition, would have caused it to reduce its bid price or not bid for the loan at all. This may adversely affect our yield on loans or cause us to increase our provision for loan losses.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experience with loans held in our loan portfolio that were originated by third parties is limited.</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30, 2013, the 38% of the loans held in our loan portfolio that were originated by third parties had been held by us for approximately nine months, calculated on a weighted average basis. Consequently, we have had only a relatively short period of time to evaluate the performance of those loans and the price at which we purchased them. Further experience with these loans may provide us with information that could cause us to increase our provision for loan losses.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loan portfolio includes commercial loans, which are generally riskier than other types of loans.</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At June 30, 2013, our commercial real estate mortgage and commercial business loan portfolios comprised 68% of total loans. Commercial loans generally carry larger loan balances and involve a higher risk of nonpayment or late payment than residential mortgage loans. These loans, and purchased loans in particular, may lack standardized terms and may include a balloon payment feature. Moreover, some of these loans may be secured by assets located outside of the Community Banking Division’s primary market area. The ability of a borrower to make or refinance a balloon payment may be affected by a number of factors, including the financial condition of the borrower, prevailing economic conditions and prevailing interest rates. Repayment of these loans is generally more dependent on the economy and the successful operation of a business. Because of the risks associated with commercial loans, we may experience higher rates of default than if the portfolio were more heavily weighted toward residential mortgage loans. Higher rates of default could have an adverse effect on our financial condition and results of operations.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Environmental liability associated with our lending activities could result in losses.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course of business, we may acquire, through foreclosure, properties securing loans we have originated or purchased that are in default. Particularly in commercial real estate lending, there is a risk that hazardous substances could be discovered on these properties. In this event, we might be required to remove these substances from the affected properties at our sole cost and expense. The cost of this removal could substantially exceed the value of affected properties. We may not have adequate remedies against the prior owner or other responsible parties and could find it difficult or impossible to sell the affected properties. These events could have an adverse effect on our financial condition and results of operations.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Liquidity is the ability to meet cash flow needs on a timely basis at a reasonable cost. Our liquidity is used principally to originate or purchase loans, to repay deposit liabilities and other liabilities when they come due, and to fund operating costs. Customer demand for non-maturity deposits can be difficult to predict. Changes in market interest rates, increased competition within our markets, and other factors may make deposit gathering more difficult. Disruptions in the capital markets or interest rate changes may make the terms of wholesale funding sources — which include Federal Home Loan Bank advances, the Federal Reserve’s Borrower-in-Custody program, securities sold under repurchase agreements, federal funds purchased and brokered certificates of deposit — less favorable and may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make it difficult to sell securities when needed to provide additional liquidity. As a result, there is a risk that the cost of funding will increase or that we will not have sufficient funds to meet our obligations when they come due.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subject to security and operational risks relating to our use of technology.</w:t>
      </w:r>
    </w:p>
    <w:p>
      <w:pPr>
        <w:sectPr>
          <w:pgSz w:w="11900" w:h="16838" w:orient="portrait"/>
          <w:cols w:equalWidth="0" w:num="1">
            <w:col w:w="11420"/>
          </w:cols>
          <w:pgMar w:left="240" w:top="517" w:right="239" w:bottom="140" w:gutter="0" w:footer="0" w:header="0"/>
        </w:sectPr>
      </w:pPr>
    </w:p>
    <w:bookmarkStart w:id="15" w:name="page16"/>
    <w:bookmarkEnd w:id="15"/>
    <w:p>
      <w:pPr>
        <w:spacing w:after="0" w:line="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Communication and information systems are critical to the conduct of our business because we use these systems to manage our customer relationships and process accounting and financial reporting information. Although we have established policies and procedures to prevent or limit the impact of system failures, interruptions and security breaches, there can be no assurance that such events will not occur or that they will be adequately addressed if they do. In addition, any compromise of our security systems could prevent customers from using our website and our online banking services, both of which involve the transmission of confidential information. Although we rely on security and processing systems to provide the security and authentication necessary to securely transmit data, these precautions may not protect our systems from compromises or breaches of security. The occurrence of any failures, interruptions or security breaches of our information systems could damage our reputation, result in the loss of business, subject us to increased regulatory scrutiny or expose us to civil litigation and possible financial liability, including the costs of customer notification and remediation efforts. Any of these occurrences could have an adverse effect on our financial condition and results of operations.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Damage to our reputation could significantly harm our business, including our competitive position and business prospects.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ability to attract and retain customers and employees could be adversely affected if our reputation is damaged. Our actual or perceived failure to address various issues could give rise to reputational risk that could cause harm to us and our business prospects. These issues also include, but are not limited to, legal and regulatory requirements; properly maintaining customer and employee personal information; record keeping; money-laundering; sales and trading practices; ethical issues; appropriately addressing potential conflicts of interest; and the proper identification of the legal, reputational, credit, liquidity and market risks inherent in our products. Failure to appropriately address any of these issues could also give rise to additional regulatory restrictions and legal risks, which could, among other consequences, increase the size and number of litigation claims and damages asserted or subject us to enforcement actions, fines and penalties and cause us to incur related costs and expenses.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Internal controls may fail or be circumvented.</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Effective controls over financial reporting are necessary to help ensure reliable financial reporting and prevent fraud. Management is responsible for maintaining an effective system of internal control and assessing system effectiveness. Our system of internal control is a process designed to provide reasonable, not absolute, assurance that system objectives are being met. Failure or circumvention of the system of internal control could have an adverse effect on our business, profitability, and financial condition, and could further result in regulatory actions and loss of investor confidence.</w:t>
      </w:r>
    </w:p>
    <w:p>
      <w:pPr>
        <w:spacing w:after="0" w:line="154"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i w:val="1"/>
          <w:iCs w:val="1"/>
          <w:color w:val="auto"/>
        </w:rPr>
        <w:t>Our historical operating results may be of limited use to you in evaluating our historical performance and predicting our future results.</w:t>
      </w:r>
    </w:p>
    <w:p>
      <w:pPr>
        <w:spacing w:after="0" w:line="2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We applied the acquisition method of accounting, as described in Accounting Standards Codification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to the merger of FHB Formation LLC with and into Northeast. As a result of application of the acquisition method of accounting to our balance sheet, our financial statements from the periods prior to December 29, 2010, the date that the merger was consummated, are not directly comparable to the financial statements for periods subsequent to December 29, 2010. The lack of comparability arises from the assets and liabilities having new accounting bases as a result of recording them at their fair values as of the transaction date rather than at historical cost basis. In connection with the application of the acquisition method of accounting for the merger, the allowance for loan losses was reduced to zero when the loan portfolio was marked to its then current fair value. In addition, the accretion of fair value adjustments to certain interest-bearing assets and liabilities increased our net income for periods subsequent to the merger. The lack of comparability means that the periods being reported in the fiscal year ended June 30, 2011 in the statements and tables are not the same periods as reported for the fiscal years ended June 30, 2013 and 2012, and, as a result, our historical operating results before December 29, 2010 are of limited relevance in evaluating our historical financial performance subsequent to December 29, 2010 and predicting our future operating results.</w:t>
      </w:r>
    </w:p>
    <w:p>
      <w:pPr>
        <w:spacing w:after="0" w:line="16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Difficult economic conditions, both in the Community Banking Division’s primary market area and more generally, could adversely affect our financial condition and results of operations.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Community Banking Division primarily serves individuals and businesses located in western and south-central Maine. As a result, a significant portion of our earnings are closely tied to the economy of Maine. In addition, our loan portfolio includes commercial loans acquired by our Loan Acquisition and Servicing Group that are secured by assets located nationwide. Deterioration in the economic conditions of the Community Banking Division’s market in Maine, and deterioration of the economy nationally could result in the following consequences:</w:t>
      </w:r>
    </w:p>
    <w:p>
      <w:pPr>
        <w:spacing w:after="0" w:line="187"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delinquencies may increase;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 assets and foreclosures may increase;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our products and services may decline;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collateral for our loans may decline in value, in turn reducing a customer’s borrowing power and reducing the value of collateral securing a loan;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future growth, if any, may require us to raise additional capital, but that capital may not be available when we need it.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bank, we are required by regulatory authorities to maintain adequate levels of capital to support our operations. In addition, in conjunction with the regulatory approvals received for the merger with FHB Formation LLC, we committed to maintain a Tier 1 leverage ratio of at least 10% and a total risk-based capital ratio of at least 15%. We may need to raise additional capital to support our operations or our growth, if any. Our ability to raise additional capital will depend, in part, on conditions in the capital markets and our financial performance at that time. Accordingly, we may be unable to raise additional capital, if and when needed, on acceptable terms, or at all. If we cannot raise additional capital when needed, our ability to further expand our operations through internal growth and acquisitions could be materially impaired. In addition, if we decide to raise additional equity capital, investors’ interests could be diluted. Our failure to meet any applicable regulatory guideline related to our lending activities or any capital requirement otherwise imposed upon us or to satisfy any other regulatory requirement could subject us to certain activity restrictions or to a variety of enforcement remedies available to the regulatory authorities, including limitations on our ability to pay dividends or pursue acquisitions, the issuance by regulatory authorities of a capital directive to increase capital and the termination of deposit insurance by the FDIC.</w:t>
      </w:r>
    </w:p>
    <w:p>
      <w:pPr>
        <w:sectPr>
          <w:pgSz w:w="11900" w:h="16854" w:orient="portrait"/>
          <w:cols w:equalWidth="0" w:num="1">
            <w:col w:w="11380"/>
          </w:cols>
          <w:pgMar w:left="240" w:top="125" w:right="27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Associated With the Industry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Competition in the financial services industry is intense and could result in us losing business or experiencing reduced margins.</w:t>
      </w:r>
    </w:p>
    <w:p>
      <w:pPr>
        <w:spacing w:after="0" w:line="23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future growth and success will depend on our ability to continue to compete effectively in the Community Banking Division’s Maine market, in the markets in which the Loan Acquisition and Servicing Group invests and in the markets in which ableBanking will operate. We face aggressive competition from other domestic and foreign lending institutions and from numerous other providers of financial services. The ability of non-banking financial institutions to provide services previously limited to commercial banks has intensified competition. Because non-banking financial institutions are not subject to the same regulatory restrictions as banks and bank holding companies, they can often operate with greater flexibility and lower cost structures. Securities firms and insurance companies that elect to become financial holding companies may acquire banks and other financial institutions. This may significantly change the competitive environment in which we conduct our business. Some of our competitors have significantly greater financial resources and/or face fewer regulatory constraints. As a result of these various sources of competition, we could lose business to competitors or could be forced to price products and services on less advantageous terms to retain or attract clients, either of which would adversely affect its profitability.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interest rates could adversely affect our net interest income and profitability.</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majority of our assets and liabilities are monetary in nature. As a result, our earnings and growth are significantly affected by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Changes in interest rates can affect our net interest income as well as the value of our assets and liabilities. Net interest income is the difference between (i) interest income on interest-earning assets, such as loans and securities, and (ii) interest expense on interest-bearing liabilities, such as deposits and borrowings. Changes in market interest rates, changes in the relationships between short-term and long-term market interest rates, or the yield curve, or changes in the relationships between different interest rate indices can affect the interest rates charged on interest-earning assets differently than the interest rates paid on interest-bearing liabilities. This difference could result in an increase in interest expense relative to interest income, and therefore reduce our net interest income. Further, declines in market interest rates may trigger loan prepayments, which in many cases are within our customers’ discretion, and which in turn may serve to reduce our net interest income if we are unable to lend those funds to other borrowers or invest the funds at the same or higher interest rates.</w:t>
      </w:r>
    </w:p>
    <w:p>
      <w:pPr>
        <w:spacing w:after="0" w:line="17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laws and regulations, or changes in them, could limit or restrict our activities and could have an adverse impact in our operations.</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are subject to regulation and supervision by the Federal Reserve, and our banking subsidiary, Northeast Bank, is subject to regulation and supervision by the Federal Reserve, the Maine Bureau of Financial Institutions and the FDIC, as the insurer of Northeast Bank’s deposits. Federal and state laws and regulations govern numerous matters, including changes in the ownership or control of banks and bank holding companies, maintenance of adequate capital and the financial condition of a financial institution, permissible types, amounts and terms of extensions of credit and investments, permissible non-banking activities, the level of reserves against deposits and restrictions on dividend payments. The Federal Reserve, the FDIC and the Maine Bureau of Financial Institutions have the power to issue cease and desist orders to prevent or remedy unsafe or unsound practices or violations of law by banks subject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their regulation, and the Federal Reserve possesses similar powers with respect to bank holding companies. These and other restrictions limit the manner in which we and Northeast Bank may conduct business and obtain financing.</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our business is highly regulated, the laws, rules, regulations, and supervisory guidance and policies applicable to us are subject to regular modification and change. It is impossible to predict the competitive impact that any such changes would have on the banking and financial services industry in general or on our business in particular. Such changes may, among other things, increase the cost of doing business, limit permissible activities, or affect the competitive balance between banks and other financial institutions. The Dodd-Frank Act instituted major changes to the banking and financial institutions regulatory regimes in light of the recent performance of and government intervention in the financial services sector. Other changes to statutes, regulations, or regulatory policies, including changes in interpretation or implementation of statutes, regulations, or policies, could affect us in substantial and unpredictable ways. Such changes could subject us to additional costs, limit the types of financial services and products we may offer, and/or increase the ability of non-banks to offer competing financial services and products, among other things. Failure to comply with laws, regulations, or policies could result in sanctions by regulatory agencies, civil money penalties, and/or reputation damage, which could have a material adverse effect on our business, financial condition, and results of operations. See “Supervision and Regulation” in Item 1, “Business.”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Additional requirements imposed by the Dodd-Frank Act could adversely affect us.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Current and future legal and regulatory requirements, restrictions, and regulations, including those imposed under the Dodd-Frank Act,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related regulations and may make it more difficult for us to attract and retain qualified executive officers and employees. The Dodd-Frank Act comprehensively reformed the regulation of financial institutions, products and services. Because many aspects of the Dodd-Frank Act are subject to rulemaking and will take effect over several years, it is difficult to forecast the impact that such rulemaking will have on us, our customers or the financial industry. Certain provisions of the Dodd-Frank Act that affect deposit insurance assessments, the payment of interest on demand deposits and interchange fees could increase the costs associated with our banking subsidiaries’ deposit-generating activities, as well as place limitations on the revenues that those deposits may generate. In addition, the Dodd-Frank Act established the CFPB. The CFPB has the authority to prescribe rules for all depository institutions governing the provision of consumer financial products and services, which may result in rules and regulations that reduce the profitability of such products and services or impose greater costs on the Company and its subsidiaries. The Dodd-Frank Act also established new minimum mortgage underwriting standards for residential mortgages, and the regulatory agencies have focused on the examination and supervision of mortgage lending and servicing activities. The CFPB recently issued a final rule that requires creditors, such as our banking subsidiaries, to make a reasonable good faith determination of a consumer’s ability to repay any consumer credit transaction secured by a dwelling. The rule provides creditors with minimum requirements for making such ability-to-repay determinations. See “Supervision and Regulation—The Dodd-Frank Act” in Item 1, “Business.”</w:t>
      </w:r>
    </w:p>
    <w:p>
      <w:pPr>
        <w:sectPr>
          <w:pgSz w:w="11900" w:h="16838" w:orient="portrait"/>
          <w:cols w:equalWidth="0" w:num="1">
            <w:col w:w="11420"/>
          </w:cols>
          <w:pgMar w:left="240" w:top="337" w:right="239" w:bottom="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b w:val="1"/>
          <w:bCs w:val="1"/>
          <w:i w:val="1"/>
          <w:iCs w:val="1"/>
          <w:color w:val="auto"/>
        </w:rPr>
        <w:t>We will become subject to more stringent capital requirements.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Dodd-Frank Act requires the federal banking agencies to establish minimum leverage and risk-based capital requirements for insured banks and their holding companies. The federal banking agencies issued a joint final rule, or the “Final Capital Rule,” that implements the Basel III capital standards and establishes the minimum capital levels required under the Dodd-Frank Act. We must comply with the Final Capital Rule by January 1, 2015. The Final Capital Rule establishes a minimum common equity Tier I capital ratio of 6.5% of risk-weighted assets for a “well capitalized” institution and increases the minimum Tier I capital ratio for a “well capitalized” institution from 6.0% to 8.0%. Additionally, the Final Capital Rule requires an institution to maintain a 2.5% common equity Tier I capital conservation buffer over the 6.5% minimum risk-based capital requirement to avoid restrictions on the ability to pay dividends, discretionary bonuses, and engage in share repurchases. The Final Capital Rule permanently grandfathers trust preferred securities issued before May 19, 2010, subject to a limit of 25% of Tier I capital. The Final Capital Rule increases the required capital for certain categories of assets, including high-volatility construction real estate loans and certain exposures related to securitizations; however, the Final Capital Rule retains the current capital treatment of residential mortgages. Under the Final Capital Rule, we may make a one-time, permanent election to continue to exclude accumulated other comprehensive income from capital. If we do not make this election, unrealized gains and losses will be included in the calculation of our regulatory capital. Implementation of these standards, or any other new regulations, may adversely affect our ability to pay dividends, or require us to reduce business levels or raise capital, including in ways that may adversely affect our results of operations or financial condition.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FDIC’s assessment rates could adversely affect our financial condition and results of operations.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FDIC insures deposits at FDIC-insured depository institutions, such as Northeast Bank, up to applicable limits. As a result of recent economic conditions and the enactment of the Dodd-Frank Act, the FDIC has increased deposit insurance assessment rates. If these increases are insufficient for the deposit insurance fund of the FDIC to meet its funding requirements, there may need to be further special assessments or increases in deposit insurance premiums. We are generally unable to control the amount of premiums that we are required to pay for FDIC insurance. If there are additional bank or financial institution failures, we may be required to pay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even higher FDIC premiums than the recently increased levels. Any future additional assessments, increases or required prepayments in FDIC insurance premiums may materially adversely affect results of operations, including by reducing our profitability or limiting our ability to pursue certain business opportunities.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accounting standards can materially impact our financial statements.</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accounting policies and methods are fundamental to how we record and report our financial condition and results of operations. From time to time, the Financial Accounting Standards Board or regulatory authorities change the financial accounting and reporting standards that govern the preparation of our financial statements. These changes can be hard to predict and can materially impact how we record and report our financial condition and results of operations. In some cases, we could be required to apply a new or revised standard retroactively, resulting in our restating prior period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 volatility has affected and may continue to affect the value of our common stock.</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performance of our common stock has been and may continue to be affected by many factors, including volatility in the credit, mortgage and housing markets, and the markets with respect to financial institutions generally. Government action and changes in government regulations, such as the Dodd-Frank Act, may affect the value of our common stock. More general market fluctuations, industry factors and general economic and political conditions and events, such as economic slowdowns or interest rate changes could also cause the value of our common stock to decrease regardless of our operating results.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common stock trading volume may not provide adequate liquidity for investors.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voting common stock is listed on the NASDAQ Global Market. The average daily trading volume for Northeast voting common stock is less than the corresponding trading volume for larger financial institutions. Due to this relatively low trading volume, significant sales of Northeast voting common stock, or the expectation of these sales, may place significant downward pressure on the market price of Northeast voting common stock. No assurance can be given that a more active trading market in our common stock will develop in the foreseeable future or can be maintained. There can also be no assurance that the offering will result in a material increase in the “float” for our common stock, which we define as the aggregate market value of our voting common stock held by shareholders who are not affiliates of Northeast, because our affiliates may purchase shares of voting common stock in the offering.</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There is a limited market for and restrictions on the transferability of our non-voting common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non-voting common stock is not and will not be listed on any exchange. Additionally, the non-voting common stock can only be transferred in certain limited circumstances set forth in our articles of incorporation. Accordingly, holders of our non-voting common stock may be required to bear the economic consequences of holding such non-voting common stock for an indefinite period of time.</w:t>
      </w:r>
    </w:p>
    <w:p>
      <w:pPr>
        <w:spacing w:after="0" w:line="181" w:lineRule="exact"/>
        <w:rPr>
          <w:sz w:val="20"/>
          <w:szCs w:val="20"/>
          <w:color w:val="auto"/>
        </w:rPr>
      </w:pPr>
    </w:p>
    <w:p>
      <w:pPr>
        <w:ind w:right="80" w:firstLine="486"/>
        <w:spacing w:after="0" w:line="381" w:lineRule="auto"/>
        <w:rPr>
          <w:sz w:val="20"/>
          <w:szCs w:val="20"/>
          <w:color w:val="auto"/>
        </w:rPr>
      </w:pPr>
      <w:r>
        <w:rPr>
          <w:rFonts w:ascii="Arial" w:cs="Arial" w:eastAsia="Arial" w:hAnsi="Arial"/>
          <w:sz w:val="15"/>
          <w:szCs w:val="15"/>
          <w:b w:val="1"/>
          <w:bCs w:val="1"/>
          <w:i w:val="1"/>
          <w:iCs w:val="1"/>
          <w:color w:val="auto"/>
        </w:rPr>
        <w:t>If we defer payments of interest on our outstanding junior subordinated debt securities or if certain defaults relating to those debt securities occur, we will be prohibited from declaring or paying dividends or distributions on, and from making liquidation payments with respect to, our common stock.</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2013, we had outstanding $16.5 million in aggregate principal amount of junior subordinated debt securities issued in connection with the sale of trust preferred securities by affiliates of ours that are statutory business trusts. We have also guaranteed those trust preferred securities. The indenture under which the junior subordinated debt securities were issued, together with the guarantee, prohibits us, subject to limited exceptions, from declaring or paying any dividends or distributions on, or redeeming, repurchasing, acquiring or making any liquidation payments with respect to, any of our capital stock (including the Series A preferred stock and our common stock) at any time when (i) there shall have occurred and be continuing an event of default under the indenture; (ii) we are in default with respect to payment of any obligations under the guarantee; or (iii) we have elected to defer payment of interest on the junior subordinated debt securities. In that regard, we are entitled, at our option but subject to certain conditions, to defer payments of interest on the junior subordinated debt securities from time to time for up to five years.</w:t>
      </w:r>
    </w:p>
    <w:p>
      <w:pPr>
        <w:sectPr>
          <w:pgSz w:w="11900" w:h="16838" w:orient="portrait"/>
          <w:cols w:equalWidth="0" w:num="1">
            <w:col w:w="11400"/>
          </w:cols>
          <w:pgMar w:left="240" w:top="125" w:right="259" w:bottom="0" w:gutter="0" w:footer="0" w:header="0"/>
        </w:sectPr>
      </w:pPr>
    </w:p>
    <w:bookmarkStart w:id="18" w:name="page19"/>
    <w:bookmarkEnd w:id="18"/>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Events of default under the indenture generally consist of our failure to pay interest on the junior subordinated debt securities under certain circumstances, our failure to pay any principal of or premium on such junior subordinated debt securities when due, our failure to comply with certain covenants under the indenture, and certain events of bankruptcy, insolvency or liquidation relating to us.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these provisions, if we were to elect to defer payments of interest on the junior subordinated debt securities, or if any of the other events described in clause (i) or (ii) of the first paragraph of this risk factor were to occur, we would be prohibited from declaring or paying any dividends on the Series A preferred stock and our common stock, from redeeming, repurchasing or otherwise acquiring any of the Series A preferred stock or our common stock, and from making any payments to holders of the Series A preferred stock or our common stock in the event of our liquidation, which would likely have a material adverse effect on the market value of our common stock.</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upon our subsidiaries for dividends, distributions and other payments.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a separate and distinct legal entity from Northeast Bank, and depend on dividends, distributions and other payments from Northeast Bank to fund dividend payments on our common stock and to fund all payments on our other obligations. We and Northeast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Bank are subject to laws that authorize regulatory authorities to block or reduce the flow of funds from Northeast Bank to us. Regulatory action of that kind could impede access to the funds that Northeast needs in order to make payments on its obligations or dividend payments. In addition, if Northeast Bank does not maintain sufficient capital levels or its earnings are not sufficient to make dividend payments to us, we may not be able to make dividend payments to our common and preferred shareholders. Further, our right to participate in a distribution of assets upon a subsidiary’s liquidation or reorganization is subject to the prior claims of Northeast Bank’s creditors.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not be able to pay dividends and, if we pay dividends, we cannot guarantee the amount and frequency of such dividends.</w:t>
      </w:r>
    </w:p>
    <w:p>
      <w:pPr>
        <w:spacing w:after="0" w:line="23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continued payment of dividends on shares of our common stock will depend upon our debt and equity structure, earnings and financial condition, need for capital in connection with possible future acquisitions, growth and other factors, including economic conditions, regulatory restrictions, and tax considerations. We cannot guarantee that we will pay dividends or, if we pay dividends, the amount and frequency of these dividends.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may issue additional shares of common or preferred stock in the future, which could dilute a shareholder’s ownership of common stock.</w:t>
      </w:r>
    </w:p>
    <w:p>
      <w:pPr>
        <w:spacing w:after="0" w:line="2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articles of incorporation authorize our board of directors, generally without shareholder approval, to, among other things, issue additional shares of common or preferred stock. The issuance of any additional shares of common or preferred stock could be dilutive to a shareholder’s ownership of our common stock. To the extent that we issue options or warrants to purchase common stock in the future and the options or warrants are exercised, our shareholders may experience further dilution. Holders of shares of our common stock have no preemptive rights that entitle holders to purchase their pro rata share of any offering of shares of any class or series and, therefore, shareholders may not be permitted to invest in future issuances of Northeast common or preferred stock. We are required by federal and state regulatory authorities to maintain adequate levels of capital to support our operations. Accordingly, regulatory requirements and/or deterioration in our asset quality may require us to sell common stock to raise capital under circumstances and at prices that result in substantial dilution.</w:t>
      </w:r>
    </w:p>
    <w:p>
      <w:pPr>
        <w:spacing w:after="0" w:line="19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may issue debt and equity securities that are senior to our common stock as to distributions and in liquidation, which could negatively affect the value of our common stock.</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future, we may increase our capital resources by entering into debt or debt-like financing or issuing debt or equity securities, which could include issuances of senior notes, subordinated notes, preferred stock or common stock. In the event of our liquidation, our lenders and holders of its debt or preferred securities would receive a distribution of our available assets before distributions to the holders of Northeast common stock. Our decision to incur debt and issue securities in future offerings will depend on market conditions and other factors beyond our control. We cannot predict or estimate the amount, timing or nature of our future offerings and debt financings. Future offerings could reduce the value of shares of our common stock and dilute a shareholder’s interest in Northeast.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a deposit account or other obligation of any bank and is not insured by the FDIC or any other governmental entity.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Anti-takeover provisions could negatively impact our shareholders.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Federal law imposes restrictions, including regulatory approval requirements, on persons seeking to acquire control over Northeast. Provisions of Maine law and provisions of our articles of incorporation and by-laws could make it more difficult for a third party to acquire control of us or have the effect of discouraging a third party from attempting to acquire control of us. We have a classified board of directors, meaning that approximately one-third of our directors are elected annually. Additionally, our articles of organization authorize our board of directors to issue preferred stock without shareholder approval and such preferred stock could be issued as a defensive measure in response to a takeover proposal. Other provisions that could make it more difficult for a third party to acquire us even if an acquisition might be in the best interest of our shareholders include supermajority voting requirements to remove a director from office without cause; restrictions on shareholders calling a special meeting; a requirement that only directors may fill a board vacancy; and provisions regarding the timing and content of shareholder proposals and nominations.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74" w:orient="portrait"/>
          <w:cols w:equalWidth="0" w:num="1">
            <w:col w:w="11400"/>
          </w:cols>
          <w:pgMar w:left="240" w:top="125" w:right="259" w:bottom="0" w:gutter="0" w:footer="0" w:header="0"/>
        </w:sectPr>
      </w:pPr>
    </w:p>
    <w:bookmarkStart w:id="19" w:name="page20"/>
    <w:bookmarkEnd w:id="19"/>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June 30, 2013, the Company conducted its business from its main office in Lewiston, Maine and an office in Boston, Massachusetts. The Company also conducts business from its ten full-service bank branches and six loan production offices located in western and south-central Maine, southern New Hampshire and southeastern Massachusetts.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to its Lewiston, Maine, and Boston, Massachusetts, offices, the Company leases eleven of its other locations. For information regarding the Company’s lease commitments, please refer to “Lease Obligations” under Note 14 of the Notes to the Consolidated Financial Statements in Item 8 of this Annual Report.</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time to time, the Company and its subsidiaries are subject to certain legal proceedings and claims in the ordinary course of business. Management presently believes that the ultimate outcome of these proceedings, individually and in the aggregate, will not be material to the Company or its consolidated financial position. The Company establishes reserves for specific legal matters when it determines that the likelihood of an unfavorable outcome is probable and the loss is reasonably estimable. Legal proceedings are subject to inherent uncertainties, and unfavorable rulings could occur that could cause the Company to establish litigation reserves or could have, individually or in the aggregate, a material adverse effect on its business, financial condition, or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right="180" w:firstLine="8"/>
        <w:spacing w:after="0" w:line="342" w:lineRule="auto"/>
        <w:tabs>
          <w:tab w:leader="none" w:pos="2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voting common stock currently trades on the NASDAQ under the symbol “NBN.” There is no established public trading market for the Company’s non-voting common stock. As of the close of business on September 16, 2013, there were approximately 513 registered shareholders of record.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high and low closing sale prices of the Company’s voting common stock, as reported on NASDAQ, and quarterly dividends paid on the Company’s voting and non-voting common stock during the periods indicated.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40" w:type="dxa"/>
            <w:vAlign w:val="bottom"/>
          </w:tcPr>
          <w:p>
            <w:pPr>
              <w:spacing w:after="0"/>
              <w:rPr>
                <w:sz w:val="20"/>
                <w:szCs w:val="20"/>
                <w:color w:val="auto"/>
              </w:rPr>
            </w:pPr>
            <w:r>
              <w:rPr>
                <w:rFonts w:ascii="Arial" w:cs="Arial" w:eastAsia="Arial" w:hAnsi="Arial"/>
                <w:sz w:val="14"/>
                <w:szCs w:val="14"/>
                <w:b w:val="1"/>
                <w:bCs w:val="1"/>
                <w:color w:val="auto"/>
              </w:rPr>
              <w:t>Fiscal year ended June 30, 2013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Div Pd</w:t>
            </w: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 Sep 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Oct 1 – Dec 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8.93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Apr 1 – Jun 30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9.23</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350"/>
        </w:trPr>
        <w:tc>
          <w:tcPr>
            <w:tcW w:w="4840" w:type="dxa"/>
            <w:vAlign w:val="bottom"/>
          </w:tcPr>
          <w:p>
            <w:pPr>
              <w:spacing w:after="0"/>
              <w:rPr>
                <w:sz w:val="20"/>
                <w:szCs w:val="20"/>
                <w:color w:val="auto"/>
              </w:rPr>
            </w:pPr>
            <w:r>
              <w:rPr>
                <w:rFonts w:ascii="Arial" w:cs="Arial" w:eastAsia="Arial" w:hAnsi="Arial"/>
                <w:sz w:val="14"/>
                <w:szCs w:val="14"/>
                <w:b w:val="1"/>
                <w:bCs w:val="1"/>
                <w:color w:val="auto"/>
              </w:rPr>
              <w:t>Fiscal year ended June 30, 2012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Div Pd</w:t>
            </w: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 Sep 30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Oct 1 – Dec 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Apr 1 – Jun 30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11.70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bl>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September 16, 2013, the last reported sale price of the Company’s voting common stock, as reported on NASDAQ was $10.56. Holders of the Company’s voting and non-voting common stock are entitled to receive dividends when and if declared by the Board of Directors out of funds legally available. The amount and timing of future dividends payable on the Company’s voting and non-voting common stock will depend on, among other things, the financial condition of the Company, regulatory considerations, and other factors. The Company is a legal entity separate from the Bank, but its revenues are derived primarily from the Bank. Accordingly, the ability of the Company to pay cash dividends on its stock in the future generally will be dependent upon the earnings of the Bank and the Bank’s ability to pay dividends to the Company. The payment of dividends by the Bank will depend on a number of factors, including capital requirements, regulatory limitations, the Bank’s results of operations and financial condition, tax considerations, and general economic conditions. National banking laws regulate and restrict the ability of the Bank to pay dividends to the Company. See “Item 1. Business—Supervision and Regulation.”</w:t>
      </w:r>
    </w:p>
    <w:p>
      <w:pPr>
        <w:spacing w:after="0" w:line="19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right="8220" w:hanging="252"/>
        <w:spacing w:after="0" w:line="277" w:lineRule="auto"/>
        <w:tabs>
          <w:tab w:leader="none" w:pos="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Issuer Repurchases of Equity Securities. None.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following table sets forth our selected financial and operating data on a historical basis. The data set forth below does not purport to be complete. It should be read in conjunction with, and is qualified in its entirety by, the more detailed information, including the Company’s Consolidated Financial Statements and related notes, appearing elsewhere herein.</w:t>
      </w:r>
    </w:p>
    <w:p>
      <w:pPr>
        <w:sectPr>
          <w:pgSz w:w="11900" w:h="16838" w:orient="portrait"/>
          <w:cols w:equalWidth="0" w:num="1">
            <w:col w:w="11380"/>
          </w:cols>
          <w:pgMar w:left="240" w:top="337" w:right="27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Successor Company (1)</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8"/>
            <w:vMerge w:val="restart"/>
          </w:tcPr>
          <w:p>
            <w:pPr>
              <w:jc w:val="center"/>
              <w:ind w:left="732"/>
              <w:spacing w:after="0"/>
              <w:rPr>
                <w:sz w:val="20"/>
                <w:szCs w:val="20"/>
                <w:color w:val="auto"/>
              </w:rPr>
            </w:pPr>
            <w:r>
              <w:rPr>
                <w:rFonts w:ascii="Arial" w:cs="Arial" w:eastAsia="Arial" w:hAnsi="Arial"/>
                <w:sz w:val="14"/>
                <w:szCs w:val="14"/>
                <w:b w:val="1"/>
                <w:bCs w:val="1"/>
                <w:color w:val="auto"/>
                <w:w w:val="91"/>
              </w:rPr>
              <w:t>Predecessor Company (2)</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8"/>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Twelve Months</w:t>
            </w:r>
          </w:p>
        </w:tc>
        <w:tc>
          <w:tcPr>
            <w:tcW w:w="40" w:type="dxa"/>
            <w:vAlign w:val="bottom"/>
          </w:tcPr>
          <w:p>
            <w:pPr>
              <w:spacing w:after="0"/>
              <w:rPr>
                <w:sz w:val="10"/>
                <w:szCs w:val="10"/>
                <w:color w:val="auto"/>
              </w:rPr>
            </w:pPr>
          </w:p>
        </w:tc>
        <w:tc>
          <w:tcPr>
            <w:tcW w:w="1260" w:type="dxa"/>
            <w:vAlign w:val="bottom"/>
            <w:gridSpan w:val="3"/>
          </w:tcPr>
          <w:p>
            <w:pPr>
              <w:jc w:val="center"/>
              <w:ind w:right="168"/>
              <w:spacing w:after="0" w:line="119" w:lineRule="exact"/>
              <w:rPr>
                <w:sz w:val="20"/>
                <w:szCs w:val="20"/>
                <w:color w:val="auto"/>
              </w:rPr>
            </w:pPr>
            <w:r>
              <w:rPr>
                <w:rFonts w:ascii="Arial" w:cs="Arial" w:eastAsia="Arial" w:hAnsi="Arial"/>
                <w:sz w:val="13"/>
                <w:szCs w:val="13"/>
                <w:b w:val="1"/>
                <w:bCs w:val="1"/>
                <w:color w:val="auto"/>
              </w:rPr>
              <w:t>Twelve Months</w:t>
            </w:r>
          </w:p>
        </w:tc>
        <w:tc>
          <w:tcPr>
            <w:tcW w:w="160" w:type="dxa"/>
            <w:vAlign w:val="bottom"/>
          </w:tcPr>
          <w:p>
            <w:pPr>
              <w:spacing w:after="0"/>
              <w:rPr>
                <w:sz w:val="10"/>
                <w:szCs w:val="10"/>
                <w:color w:val="auto"/>
              </w:rPr>
            </w:pPr>
          </w:p>
        </w:tc>
        <w:tc>
          <w:tcPr>
            <w:tcW w:w="820" w:type="dxa"/>
            <w:vAlign w:val="bottom"/>
          </w:tcPr>
          <w:p>
            <w:pPr>
              <w:jc w:val="center"/>
              <w:ind w:right="91"/>
              <w:spacing w:after="0" w:line="119" w:lineRule="exact"/>
              <w:rPr>
                <w:sz w:val="20"/>
                <w:szCs w:val="20"/>
                <w:color w:val="auto"/>
              </w:rPr>
            </w:pPr>
            <w:r>
              <w:rPr>
                <w:rFonts w:ascii="Arial" w:cs="Arial" w:eastAsia="Arial" w:hAnsi="Arial"/>
                <w:sz w:val="13"/>
                <w:szCs w:val="13"/>
                <w:b w:val="1"/>
                <w:bCs w:val="1"/>
                <w:color w:val="auto"/>
                <w:w w:val="99"/>
              </w:rPr>
              <w:t>184 Days</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181 Days</w:t>
            </w:r>
          </w:p>
        </w:tc>
        <w:tc>
          <w:tcPr>
            <w:tcW w:w="20" w:type="dxa"/>
            <w:vAlign w:val="bottom"/>
          </w:tcPr>
          <w:p>
            <w:pPr>
              <w:spacing w:after="0"/>
              <w:rPr>
                <w:sz w:val="10"/>
                <w:szCs w:val="10"/>
                <w:color w:val="auto"/>
              </w:rPr>
            </w:pPr>
          </w:p>
        </w:tc>
        <w:tc>
          <w:tcPr>
            <w:tcW w:w="12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Twelve Months</w:t>
            </w:r>
          </w:p>
        </w:tc>
        <w:tc>
          <w:tcPr>
            <w:tcW w:w="4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Twelve Months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0"/>
              </w:rPr>
              <w:t>June 30, 2012</w:t>
            </w:r>
          </w:p>
        </w:tc>
        <w:tc>
          <w:tcPr>
            <w:tcW w:w="12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0"/>
              </w:rPr>
              <w:t>June 30, 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 28, 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8"/>
          </w:tcPr>
          <w:p>
            <w:pPr>
              <w:jc w:val="right"/>
              <w:ind w:right="60"/>
              <w:spacing w:after="0" w:line="142" w:lineRule="exact"/>
              <w:rPr>
                <w:sz w:val="20"/>
                <w:szCs w:val="20"/>
                <w:color w:val="auto"/>
              </w:rPr>
            </w:pPr>
            <w:r>
              <w:rPr>
                <w:rFonts w:ascii="Arial" w:cs="Arial" w:eastAsia="Arial" w:hAnsi="Arial"/>
                <w:sz w:val="14"/>
                <w:szCs w:val="14"/>
                <w:b w:val="1"/>
                <w:bCs w:val="1"/>
                <w:color w:val="auto"/>
                <w:w w:val="90"/>
              </w:rPr>
              <w:t>(Dollars in thousands, except per share data)</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Selected operations data: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Interest and dividend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36,543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27,014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13,304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14,378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31,262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6,317</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Net interest income</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Noninterest income (3)</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11,433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8,565</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18,982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4,214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securities gains (losses)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Noninterest expense (4)</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34,685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28,230</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17,148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9,455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19,473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from continuing</w:t>
            </w: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Net income (loss) from</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1,147</w:t>
            </w:r>
          </w:p>
        </w:tc>
        <w:tc>
          <w:tcPr>
            <w:tcW w:w="16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2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4,065</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1,771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12,355</w:t>
            </w:r>
          </w:p>
        </w:tc>
        <w:tc>
          <w:tcPr>
            <w:tcW w:w="18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1,677</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0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tcBorders>
              <w:right w:val="single" w:sz="8" w:color="auto"/>
            </w:tcBorders>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per share data: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5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shd w:val="clear" w:color="auto" w:fill="CCEEFF"/>
          </w:tcPr>
          <w:p>
            <w:pPr>
              <w:ind w:left="340"/>
              <w:spacing w:after="0" w:line="170"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5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0.54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Book value</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11.07</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17.33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Selected balance sheet data:</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670,639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669,196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627,984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622,607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435,376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356,254</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309,913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367,284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382,309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484,623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422,188</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374,617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384,197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64,069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120,859</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126,706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199,326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183,025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119,139</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Other ratios: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Return on average assets</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equity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92.95%</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74.26%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82.40%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Average equity to average total</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11.90%</w:t>
            </w:r>
          </w:p>
        </w:tc>
        <w:tc>
          <w:tcPr>
            <w:tcW w:w="16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Common dividend payout ratio</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92.25%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71.26%</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Tier 1 leverage capital ratio</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Total risk-based capital ratio</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33.34%</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“Successor Company” means Northeast Bancorp and its subsidiary after the closing of the merger with FHB Formation LLC on December 29, 2010.</w:t>
      </w:r>
    </w:p>
    <w:p>
      <w:pPr>
        <w:spacing w:after="0" w:line="46" w:lineRule="exact"/>
        <w:rPr>
          <w:rFonts w:ascii="Arial" w:cs="Arial" w:eastAsia="Arial" w:hAnsi="Arial"/>
          <w:sz w:val="16"/>
          <w:szCs w:val="16"/>
          <w:color w:val="auto"/>
        </w:rPr>
      </w:pPr>
    </w:p>
    <w:p>
      <w:pPr>
        <w:ind w:left="660" w:right="200" w:hanging="328"/>
        <w:spacing w:after="0" w:line="250"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“Predecessor Company” means Northeast Bancorp and its subsidiary before the closing of the merger with FHB Formation LLC on December 29, 2010.</w:t>
      </w:r>
    </w:p>
    <w:p>
      <w:pPr>
        <w:ind w:left="660" w:hanging="328"/>
        <w:spacing w:after="0" w:line="250"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primarily fees for deposits, investment brokerage services to customers, and gains on the sale of loans. In the 184 days ended June 30, 2011, the total further includes a bargain purchase gain $15.4 million.</w:t>
      </w:r>
    </w:p>
    <w:p>
      <w:pPr>
        <w:ind w:left="660" w:right="120" w:hanging="328"/>
        <w:spacing w:after="0" w:line="261"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salaries, employee benefits, occupancy and equipment, and other expenses. In the 184 days ended June 30, 2011, the total includes merger expenses totaling $3.2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Northeast Bancorp (the “Company”) is a Maine corporation and a bank holding company registered with the Federal Reserve under the Bank Holding Company Act of 1956. The Company also is a registered Maine financial institution holding company. The Federal Reserve is the primary regulator of the Company, and the Company is also subject to regulation and examination by the Superintendent of the Maine Bureau of Financial Institutions. The Company’s principal asset is the capital stock of Northeast Bank (the “Bank”), a Maine state-chartered universal bank. Accordingly, the Company’s results of operations are primarily dependent on the results of the operations of the Bank.</w:t>
      </w:r>
    </w:p>
    <w:p>
      <w:pPr>
        <w:sectPr>
          <w:pgSz w:w="11900" w:h="16838" w:orient="portrait"/>
          <w:cols w:equalWidth="0" w:num="1">
            <w:col w:w="11400"/>
          </w:cols>
          <w:pgMar w:left="240" w:top="333" w:right="259" w:bottom="0" w:gutter="0" w:footer="0" w:header="0"/>
        </w:sectPr>
      </w:pPr>
    </w:p>
    <w:bookmarkStart w:id="21" w:name="page22"/>
    <w:bookmarkEnd w:id="21"/>
    <w:p>
      <w:pPr>
        <w:spacing w:after="0" w:line="1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Management’s Discussion and Analysis of Financial Condition and Results of Operations, which follows, presents a review of the consolidated operating results of the Company for the fiscal year ended June 30, 2013 (“fiscal 2013”) and the fiscal year ended June 30, 2012 (“fiscal 2012”). This discussion and analysis is intended to assist you in understanding the results of our operations and financial condition. You should read this discussion together with your review of the Company’s Consolidated Financial Statements and related notes and other statistical information included in this report. Certain amounts in the periods prior to fiscal 2013 have been reclassified to conform to the fiscal 2013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Financial Presentation</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On December 29, 2010, the merger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our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(“ASC 805”) to the Merger, which represents an acquisition by FHB of Northeast, with Northeast as the surviving company (the “Successor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the application of ASC 805 to this transaction, the following was considered:</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u w:val="single" w:color="auto"/>
          <w:color w:val="auto"/>
        </w:rPr>
        <w:t>Identify the Accounting Acquirer</w:t>
      </w:r>
      <w:r>
        <w:rPr>
          <w:rFonts w:ascii="Arial" w:cs="Arial" w:eastAsia="Arial" w:hAnsi="Arial"/>
          <w:sz w:val="18"/>
          <w:szCs w:val="18"/>
          <w:color w:val="auto"/>
        </w:rPr>
        <w:t>: FHB was identified as the accounting acquirer. FHB, which was incorporated on March 9, 2009, acquired a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interest of approximately 60% of the Successor Company’s total outstanding voting and non-voting common stock in exchange for contributed capital and cash consideration.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evaluation and identification of FHB as the accounting acquirer, it was concluded that FHB was a substantive entity involved in significant pre-merger activities, including the following: raising capital; incurring debt; incurring operating expenses; leasing office space; hiring staff to develop the surviving company’s business plan; retaining professional services firms; and identifying acquisition targets and negotiating potential transactions, including the Merger.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Determine the Acquisition Date</w:t>
      </w:r>
      <w:r>
        <w:rPr>
          <w:rFonts w:ascii="Arial" w:cs="Arial" w:eastAsia="Arial" w:hAnsi="Arial"/>
          <w:sz w:val="17"/>
          <w:szCs w:val="17"/>
          <w:color w:val="auto"/>
        </w:rPr>
        <w:t>: December 29, 2010, the closing date of the Merger, was the date that FHB gained control of the combined entity.</w:t>
      </w:r>
    </w:p>
    <w:p>
      <w:pPr>
        <w:spacing w:after="0" w:line="23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u w:val="single" w:color="auto"/>
          <w:color w:val="auto"/>
        </w:rPr>
        <w:t>Recognize assets acquired and liabilities assumed</w:t>
      </w:r>
      <w:r>
        <w:rPr>
          <w:rFonts w:ascii="Arial" w:cs="Arial" w:eastAsia="Arial" w:hAnsi="Arial"/>
          <w:sz w:val="17"/>
          <w:szCs w:val="17"/>
          <w:color w:val="auto"/>
        </w:rPr>
        <w:t>: Because neither Northeast Bancorp, the Predecessor Company (the acquired company), nor FHB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acquirer) exist as separate entities after the Merger, a new basis of accounting at fair value for the Successor Company’s assets and liabilities was established in the consolidated financial statements. At the acquisition date, the Successor Company recognized the identifiable assets acquired and the liabilities assumed based on their then fair values in accordance with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The Successor Company recognized a bargain purchase gain as the difference between the total purchase price and the net assets acquired.</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application of the acquisition method of accounting to Northeast Bancorp after the merger on December 29, 2010, the Company’s financial statements from the periods prior to the transaction date are not directly comparable to the financial statements for periods subsequent to the transaction date. To make this distinction, the Company has labeled balances and results of operations prior to the transaction date as “Predecessor Company” and balances and results of operations for periods subsequent to the transaction date as “Successor Company.” The lack of comparability arises from the assets and liabilities having new accounting bases as a result of recording them at their fair values as of the transaction date rather than at historical cost basis. To denote this lack of comparability, a heavy black line has been placed between the Successor Company and Predecessor Company columns in the discussion herein.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transaction, as part of the regulatory approval process the Company made certain commitments to the Board of Governors of the Federal Reserve System (the “Federal Reserve”), the most significant of which are, (i) maintain a Tier 1 leverage ratio of at least 10%, (ii) maintain a total risk-based capital ratio of at least 15%, (iii) limit purchased loans to 40% of total loans, (iv) fund 100% of the Company’s loans with core deposits (defined as non-maturity deposits and non-brokered insured time deposits), and (v)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 The Company’s compliance ratios at June 30, 2013 follow.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Condition</w:t>
            </w:r>
          </w:p>
        </w:tc>
        <w:tc>
          <w:tcPr>
            <w:tcW w:w="2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Ratio at June 30, 2013</w:t>
            </w:r>
          </w:p>
        </w:tc>
        <w:tc>
          <w:tcPr>
            <w:tcW w:w="16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(ii) Total risk-based capital ratio</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27.54%</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 Ratio of purchased loans to total loans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(iv) Ratio of loans to core deposits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92.94%</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 Ratio of commercial real estate loans to total risk-based capital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159.07%</w:t>
            </w:r>
          </w:p>
        </w:tc>
      </w:tr>
    </w:tbl>
    <w:p>
      <w:pPr>
        <w:spacing w:after="0" w:line="20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As a result of the sale of the Company’s insurance agency business in the first quarter of fiscal 2012 and discontinuation of further significant business activities in the insurance agency segment, the Company has classified the results of its insurance agency division as discontinued operations in the Company’s consolidated financial statements and discussion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2013 Financial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and strategic highlights for fiscal 2013 include the following:</w:t>
      </w:r>
    </w:p>
    <w:p>
      <w:pPr>
        <w:spacing w:after="0" w:line="225" w:lineRule="exact"/>
        <w:rPr>
          <w:sz w:val="20"/>
          <w:szCs w:val="20"/>
          <w:color w:val="auto"/>
        </w:rPr>
      </w:pPr>
    </w:p>
    <w:p>
      <w:pPr>
        <w:ind w:left="660" w:right="28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Earned net income of $4.4 million, or $0.39 per diluted share, from continuing operations as compared to $1.0 million, or $0.15 per diluted share, from continuing operations in fiscal 2012.</w:t>
      </w:r>
    </w:p>
    <w:p>
      <w:pPr>
        <w:spacing w:after="0" w:line="170" w:lineRule="exact"/>
        <w:rPr>
          <w:rFonts w:ascii="Arial" w:cs="Arial" w:eastAsia="Arial" w:hAnsi="Arial"/>
          <w:sz w:val="18"/>
          <w:szCs w:val="18"/>
          <w:color w:val="auto"/>
        </w:rPr>
      </w:pPr>
    </w:p>
    <w:p>
      <w:pPr>
        <w:jc w:val="both"/>
        <w:ind w:left="660" w:hanging="328"/>
        <w:spacing w:after="0" w:line="342" w:lineRule="auto"/>
        <w:tabs>
          <w:tab w:leader="none" w:pos="6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Purchased commercial loans totaling $121.3 million, and earned an average yield on the purchased portfolio of 16.0%, a result that includes regularly scheduled interest and accretion, and accelerated accretion and fees recognized on loan payoffs. The Company also monitors the “total return” on its</w:t>
      </w:r>
    </w:p>
    <w:p>
      <w:pPr>
        <w:sectPr>
          <w:pgSz w:w="11900" w:h="16854" w:orient="portrait"/>
          <w:cols w:equalWidth="0" w:num="1">
            <w:col w:w="11400"/>
          </w:cols>
          <w:pgMar w:left="240" w:top="341" w:right="259" w:bottom="0" w:gutter="0" w:footer="0" w:header="0"/>
        </w:sectPr>
      </w:pPr>
    </w:p>
    <w:bookmarkStart w:id="22" w:name="page23"/>
    <w:bookmarkEnd w:id="22"/>
    <w:p>
      <w:pPr>
        <w:ind w:left="660"/>
        <w:spacing w:after="0" w:line="264" w:lineRule="auto"/>
        <w:rPr>
          <w:sz w:val="20"/>
          <w:szCs w:val="20"/>
          <w:color w:val="auto"/>
        </w:rPr>
      </w:pPr>
      <w:r>
        <w:rPr>
          <w:rFonts w:ascii="Arial" w:cs="Arial" w:eastAsia="Arial" w:hAnsi="Arial"/>
          <w:sz w:val="18"/>
          <w:szCs w:val="18"/>
          <w:color w:val="auto"/>
        </w:rPr>
        <w:t>purchased loan portfolio, a measure that includes gains on sales of purchased loans, as well as interest, scheduled accretion and accelerated accretion and fees. On this basis, the purchased loan portfolio earned a total return of 18.3% for fiscal 2013. An overview of the LASG portfolio for fiscal 2013 follows: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Purchased</w:t>
            </w:r>
          </w:p>
        </w:tc>
        <w:tc>
          <w:tcPr>
            <w:tcW w:w="360" w:type="dxa"/>
            <w:vAlign w:val="bottom"/>
          </w:tcPr>
          <w:p>
            <w:pPr>
              <w:spacing w:after="0"/>
              <w:rPr>
                <w:sz w:val="14"/>
                <w:szCs w:val="14"/>
                <w:color w:val="auto"/>
              </w:rPr>
            </w:pPr>
          </w:p>
        </w:tc>
        <w:tc>
          <w:tcPr>
            <w:tcW w:w="1280" w:type="dxa"/>
            <w:vAlign w:val="bottom"/>
          </w:tcPr>
          <w:p>
            <w:pPr>
              <w:jc w:val="right"/>
              <w:ind w:right="394"/>
              <w:spacing w:after="0"/>
              <w:rPr>
                <w:sz w:val="20"/>
                <w:szCs w:val="20"/>
                <w:color w:val="auto"/>
              </w:rPr>
            </w:pPr>
            <w:r>
              <w:rPr>
                <w:rFonts w:ascii="Arial" w:cs="Arial" w:eastAsia="Arial" w:hAnsi="Arial"/>
                <w:sz w:val="14"/>
                <w:szCs w:val="14"/>
                <w:b w:val="1"/>
                <w:bCs w:val="1"/>
                <w:color w:val="auto"/>
              </w:rPr>
              <w:t>Originated</w:t>
            </w:r>
          </w:p>
        </w:tc>
        <w:tc>
          <w:tcPr>
            <w:tcW w:w="34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 LASG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Purchased or originated during the year: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155,216</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37,181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121,336</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37,208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Totals as of year end: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204,276</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38,846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166,786</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38,879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205,665</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Returns during the year:</w:t>
            </w:r>
          </w:p>
        </w:tc>
        <w:tc>
          <w:tcPr>
            <w:tcW w:w="2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Yield</w:t>
            </w:r>
          </w:p>
        </w:tc>
        <w:tc>
          <w:tcPr>
            <w:tcW w:w="2920" w:type="dxa"/>
            <w:vAlign w:val="bottom"/>
          </w:tcPr>
          <w:p>
            <w:pPr>
              <w:jc w:val="right"/>
              <w:ind w:right="510"/>
              <w:spacing w:after="0"/>
              <w:rPr>
                <w:sz w:val="20"/>
                <w:szCs w:val="20"/>
                <w:color w:val="auto"/>
              </w:rPr>
            </w:pPr>
            <w:r>
              <w:rPr>
                <w:rFonts w:ascii="Arial" w:cs="Arial" w:eastAsia="Arial" w:hAnsi="Arial"/>
                <w:sz w:val="18"/>
                <w:szCs w:val="18"/>
                <w:color w:val="auto"/>
              </w:rPr>
              <w:t>16.04%</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9.34%</w:t>
            </w:r>
          </w:p>
        </w:tc>
        <w:tc>
          <w:tcPr>
            <w:tcW w:w="110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Return (1)</w:t>
            </w:r>
          </w:p>
        </w:tc>
        <w:tc>
          <w:tcPr>
            <w:tcW w:w="29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18.33%</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20" w:hanging="4"/>
        <w:spacing w:after="0" w:line="277" w:lineRule="auto"/>
        <w:tabs>
          <w:tab w:leader="none" w:pos="9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the Company’s deposit base by $62.4 million, principally through $69.0 million of net deposits raised through ableBanking, the Bank’s online affinity deposit platform.</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Redeemed TARP preferred stock and warrants totaling $4.3 million.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Continuing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income from continuing operations for the year ended June 30, 2013 was $4.4 million, a $3.4 million increase over 2012. Items of significance affecting the Company’s earnings included:</w:t>
      </w:r>
    </w:p>
    <w:p>
      <w:pPr>
        <w:spacing w:after="0" w:line="170" w:lineRule="exact"/>
        <w:rPr>
          <w:sz w:val="20"/>
          <w:szCs w:val="20"/>
          <w:color w:val="auto"/>
        </w:rPr>
      </w:pPr>
    </w:p>
    <w:p>
      <w:pPr>
        <w:ind w:left="700" w:right="140" w:hanging="334"/>
        <w:spacing w:after="0" w:line="342" w:lineRule="auto"/>
        <w:tabs>
          <w:tab w:leader="none" w:pos="6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in the net interest margin, which grew to 4.62%, compared to 3.69% for the year ended June 30, 2012, principally due to growth in the Company’s purchased loan portfolio. The following table summarizes interest income and related yields recognized on the Company’s loans.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1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Interest</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Yield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Interest</w:t>
            </w:r>
          </w:p>
        </w:tc>
        <w:tc>
          <w:tcPr>
            <w:tcW w:w="13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252,199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14,824</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297,348</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LASG:</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1,392</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117,205</w:t>
            </w: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18,801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6,379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132,111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0"/>
        </w:trPr>
        <w:tc>
          <w:tcPr>
            <w:tcW w:w="2520" w:type="dxa"/>
            <w:vAlign w:val="bottom"/>
          </w:tcPr>
          <w:p>
            <w:pPr>
              <w:ind w:left="5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384,310</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35,017</w:t>
            </w: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339,648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24,734</w:t>
            </w:r>
          </w:p>
        </w:tc>
        <w:tc>
          <w:tcPr>
            <w:tcW w:w="20" w:type="dxa"/>
            <w:vAlign w:val="bottom"/>
            <w:tcBorders>
              <w:bottom w:val="single" w:sz="8" w:color="auto"/>
            </w:tcBorders>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line="264" w:lineRule="auto"/>
        <w:rPr>
          <w:sz w:val="20"/>
          <w:szCs w:val="20"/>
          <w:color w:val="auto"/>
        </w:rPr>
      </w:pPr>
      <w:r>
        <w:rPr>
          <w:rFonts w:ascii="Arial" w:cs="Arial" w:eastAsia="Arial" w:hAnsi="Arial"/>
          <w:sz w:val="18"/>
          <w:szCs w:val="18"/>
          <w:color w:val="auto"/>
        </w:rPr>
        <w:t>The yield on purchased loans was increased by unscheduled loan payoffs, which resulted in immediate recognition of the prepaid loans’ discount in interest income. The following table details the “total return” on purchased loans, which includes transactional income of $10.6 million for the year ended June 30, 2013.</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52"/>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1068"/>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Income</w:t>
            </w:r>
          </w:p>
        </w:tc>
        <w:tc>
          <w:tcPr>
            <w:tcW w:w="10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Return (1)</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Return (1)</w:t>
            </w:r>
          </w:p>
        </w:tc>
        <w:tc>
          <w:tcPr>
            <w:tcW w:w="1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20" w:type="dxa"/>
            <w:vAlign w:val="bottom"/>
            <w:gridSpan w:val="5"/>
          </w:tcPr>
          <w:p>
            <w:pPr>
              <w:jc w:val="right"/>
              <w:ind w:right="512"/>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11,038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Transactional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684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7,763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2,617</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6.71%</w:t>
            </w:r>
          </w:p>
        </w:tc>
      </w:tr>
      <w:tr>
        <w:trPr>
          <w:trHeight w:val="210"/>
        </w:trPr>
        <w:tc>
          <w:tcPr>
            <w:tcW w:w="3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5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10"/>
        </w:trPr>
        <w:tc>
          <w:tcPr>
            <w:tcW w:w="396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21,636</w:t>
            </w:r>
          </w:p>
        </w:tc>
        <w:tc>
          <w:tcPr>
            <w:tcW w:w="4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7,247</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18.57%</w:t>
            </w:r>
          </w:p>
        </w:tc>
      </w:tr>
      <w:tr>
        <w:trPr>
          <w:trHeight w:val="20"/>
        </w:trPr>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(1) 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ind w:left="660" w:hanging="29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gains on residential mortgage loan sales of $3.0 million, compared to $2.8 million in fiscal 2012.</w:t>
      </w:r>
    </w:p>
    <w:p>
      <w:pPr>
        <w:spacing w:after="0" w:line="225" w:lineRule="exact"/>
        <w:rPr>
          <w:rFonts w:ascii="Arial" w:cs="Arial" w:eastAsia="Arial" w:hAnsi="Arial"/>
          <w:sz w:val="18"/>
          <w:szCs w:val="18"/>
          <w:color w:val="auto"/>
        </w:rPr>
      </w:pPr>
    </w:p>
    <w:p>
      <w:pPr>
        <w:ind w:left="660" w:hanging="29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gains on portfolio loan sales of $2.3 million, compared to $1.1 million in fiscal 2012.</w:t>
      </w:r>
    </w:p>
    <w:p>
      <w:pPr>
        <w:sectPr>
          <w:pgSz w:w="11900" w:h="16838" w:orient="portrait"/>
          <w:cols w:equalWidth="0" w:num="1">
            <w:col w:w="11380"/>
          </w:cols>
          <w:pgMar w:left="240" w:top="125" w:right="279" w:bottom="0" w:gutter="0" w:footer="0" w:header="0"/>
        </w:sectPr>
      </w:pPr>
    </w:p>
    <w:bookmarkStart w:id="23" w:name="page24"/>
    <w:bookmarkEnd w:id="23"/>
    <w:p>
      <w:pPr>
        <w:spacing w:after="0" w:line="62" w:lineRule="exact"/>
        <w:rPr>
          <w:sz w:val="20"/>
          <w:szCs w:val="20"/>
          <w:color w:val="auto"/>
        </w:rPr>
      </w:pPr>
    </w:p>
    <w:p>
      <w:pPr>
        <w:ind w:left="700" w:right="100" w:hanging="334"/>
        <w:spacing w:after="0" w:line="264"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$6.5 million in noninterest expense, principally resulting from increased staffing and infrastructure costs necessary to execute the Company’s loan purchasing strategy. Further, during fiscal 2013, the Company incurred $1.4 million of nonrecurring expenses related to severance and the settlement of a previously disclosed lawsuit.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balance sheets, average yields and costs, and certain other information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0"/>
              </w:rPr>
              <w:t>Successor Company (1)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Year Ended June 30, 2013</w:t>
            </w:r>
          </w:p>
        </w:tc>
        <w:tc>
          <w:tcPr>
            <w:tcW w:w="10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6"/>
          </w:tcPr>
          <w:p>
            <w:pPr>
              <w:jc w:val="center"/>
              <w:ind w:left="692"/>
              <w:spacing w:after="0" w:line="142" w:lineRule="exact"/>
              <w:rPr>
                <w:sz w:val="20"/>
                <w:szCs w:val="20"/>
                <w:color w:val="auto"/>
              </w:rPr>
            </w:pPr>
            <w:r>
              <w:rPr>
                <w:rFonts w:ascii="Arial" w:cs="Arial" w:eastAsia="Arial" w:hAnsi="Arial"/>
                <w:sz w:val="14"/>
                <w:szCs w:val="14"/>
                <w:b w:val="1"/>
                <w:bCs w:val="1"/>
                <w:color w:val="auto"/>
                <w:w w:val="93"/>
              </w:rPr>
              <w:t>Year Ended June 30, 2012</w:t>
            </w:r>
          </w:p>
        </w:tc>
        <w:tc>
          <w:tcPr>
            <w:tcW w:w="9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Interest</w:t>
            </w:r>
          </w:p>
        </w:tc>
        <w:tc>
          <w:tcPr>
            <w:tcW w:w="100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Interest</w:t>
            </w:r>
          </w:p>
        </w:tc>
        <w:tc>
          <w:tcPr>
            <w:tcW w:w="96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Income/</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Yield/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Income/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51"/>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Expense</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Expense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6"/>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0.87%</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Loans (4) (5)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384,310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35,017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339,648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24,734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Short-term investments (6)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127,781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313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36,543</w:t>
            </w:r>
          </w:p>
        </w:tc>
        <w:tc>
          <w:tcPr>
            <w:tcW w:w="3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27,014</w:t>
            </w:r>
          </w:p>
        </w:tc>
        <w:tc>
          <w:tcPr>
            <w:tcW w:w="4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55,763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1400" w:type="dxa"/>
            <w:vAlign w:val="bottom"/>
            <w:gridSpan w:val="4"/>
          </w:tcPr>
          <w:p>
            <w:pPr>
              <w:jc w:val="right"/>
              <w:ind w:right="10"/>
              <w:spacing w:after="0"/>
              <w:rPr>
                <w:sz w:val="20"/>
                <w:szCs w:val="20"/>
                <w:color w:val="auto"/>
              </w:rPr>
            </w:pPr>
            <w:r>
              <w:rPr>
                <w:rFonts w:ascii="Arial" w:cs="Arial" w:eastAsia="Arial" w:hAnsi="Arial"/>
                <w:sz w:val="18"/>
                <w:szCs w:val="18"/>
                <w:color w:val="auto"/>
              </w:rPr>
              <w:t>0.27%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55,218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213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32,799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2,971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431,692</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4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 (7)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1,710</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112,812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2,119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516,982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3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478,406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4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Interest-bearing liabilities of discontinued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operations (8)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29,947</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20,697</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interest margin (9)</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“Successor Company” means Northeast Bancorp and its subsidiary after the closing of the merger with FHB Formation LLC on December 29, 2010.</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“Predecessor Company” means Northeast Bancorp and its subsidiary prior to the closing of the merger with FHB Formation LLC on December 29, 2010.</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term borrowings include securities sold under repurchase agreements and sweep accounts.</w:t>
      </w:r>
    </w:p>
    <w:p>
      <w:pPr>
        <w:spacing w:after="0" w:line="9" w:lineRule="exact"/>
        <w:rPr>
          <w:rFonts w:ascii="Arial" w:cs="Arial" w:eastAsia="Arial" w:hAnsi="Arial"/>
          <w:sz w:val="18"/>
          <w:szCs w:val="18"/>
          <w:color w:val="auto"/>
        </w:rPr>
      </w:pPr>
    </w:p>
    <w:p>
      <w:pPr>
        <w:ind w:left="380" w:right="20" w:hanging="372"/>
        <w:spacing w:after="0" w:line="250" w:lineRule="auto"/>
        <w:tabs>
          <w:tab w:leader="none" w:pos="3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balance of borrowings associated with discontinued operations has been excluded from interest expense, interest rate spread, and net interest margin.</w:t>
      </w: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100" w:type="dxa"/>
        <w:tblCellMar>
          <w:top w:w="0" w:type="dxa"/>
          <w:left w:w="0" w:type="dxa"/>
          <w:bottom w:w="0" w:type="dxa"/>
          <w:right w:w="0" w:type="dxa"/>
        </w:tblCellMar>
      </w:tblPr>
      <w:tr>
        <w:trPr>
          <w:trHeight w:val="23"/>
        </w:trPr>
        <w:tc>
          <w:tcPr>
            <w:tcW w:w="4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Successor Company (1)</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Predecessor Company (2)</w:t>
            </w:r>
          </w:p>
        </w:tc>
        <w:tc>
          <w:tcPr>
            <w:tcW w:w="0" w:type="dxa"/>
            <w:vAlign w:val="bottom"/>
          </w:tcPr>
          <w:p>
            <w:pPr>
              <w:spacing w:after="0" w:line="20" w:lineRule="exact"/>
              <w:rPr>
                <w:sz w:val="1"/>
                <w:szCs w:val="1"/>
                <w:color w:val="auto"/>
              </w:rPr>
            </w:pPr>
          </w:p>
        </w:tc>
      </w:tr>
      <w:tr>
        <w:trPr>
          <w:trHeight w:val="149"/>
        </w:trPr>
        <w:tc>
          <w:tcPr>
            <w:tcW w:w="41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184 Days Ended June 30, 2011</w:t>
            </w:r>
          </w:p>
        </w:tc>
        <w:tc>
          <w:tcPr>
            <w:tcW w:w="22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200" w:type="dxa"/>
            <w:vAlign w:val="bottom"/>
          </w:tcPr>
          <w:p>
            <w:pPr>
              <w:spacing w:after="0"/>
              <w:rPr>
                <w:sz w:val="13"/>
                <w:szCs w:val="13"/>
                <w:color w:val="auto"/>
              </w:rPr>
            </w:pPr>
          </w:p>
        </w:tc>
        <w:tc>
          <w:tcPr>
            <w:tcW w:w="3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181 Days Ended December 28, 2010</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24" w:name="page25"/>
    <w:bookmarkEnd w:id="2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340" w:type="dxa"/>
            <w:vAlign w:val="bottom"/>
            <w:tcBorders>
              <w:right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Income/</w:t>
            </w:r>
          </w:p>
        </w:tc>
        <w:tc>
          <w:tcPr>
            <w:tcW w:w="1340" w:type="dxa"/>
            <w:vAlign w:val="bottom"/>
            <w:tcBorders>
              <w:right w:val="single" w:sz="8" w:color="auto"/>
            </w:tcBorders>
          </w:tcPr>
          <w:p>
            <w:pPr>
              <w:jc w:val="center"/>
              <w:ind w:right="194"/>
              <w:spacing w:after="0" w:line="149" w:lineRule="exact"/>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Income/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Expense</w:t>
            </w:r>
          </w:p>
        </w:tc>
        <w:tc>
          <w:tcPr>
            <w:tcW w:w="1340" w:type="dxa"/>
            <w:vAlign w:val="bottom"/>
            <w:tcBorders>
              <w:right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Expense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ind w:lef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Loans (4) (5)</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337,630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11,544</w:t>
            </w:r>
          </w:p>
        </w:tc>
        <w:tc>
          <w:tcPr>
            <w:tcW w:w="28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11,210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Short-term investments (6)</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75,080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56,386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53,780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34,799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207,251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8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344,356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 (7)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115,798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1,101</w:t>
            </w:r>
          </w:p>
        </w:tc>
        <w:tc>
          <w:tcPr>
            <w:tcW w:w="28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117,688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2,365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2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Interest-bearing liabilities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discontinued operations (8)</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Demand deposits and escrow accounts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liabilities and stockholders’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vMerge w:val="continue"/>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609,254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629,942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2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10,097</w:t>
            </w:r>
          </w:p>
        </w:tc>
        <w:tc>
          <w:tcPr>
            <w:tcW w:w="1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8,501</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interest margin (9)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“Successor Company” means Northeast Bancorp and its subsidiary after the closing of the merger with FHB Formation LLC on December 29, 2010.</w:t>
      </w:r>
    </w:p>
    <w:p>
      <w:pPr>
        <w:spacing w:after="0" w:line="46" w:lineRule="exact"/>
        <w:rPr>
          <w:rFonts w:ascii="Arial" w:cs="Arial" w:eastAsia="Arial" w:hAnsi="Arial"/>
          <w:sz w:val="16"/>
          <w:szCs w:val="16"/>
          <w:color w:val="auto"/>
        </w:rPr>
      </w:pPr>
    </w:p>
    <w:p>
      <w:pPr>
        <w:ind w:left="700" w:right="120" w:hanging="368"/>
        <w:spacing w:after="0" w:line="250" w:lineRule="auto"/>
        <w:tabs>
          <w:tab w:leader="none" w:pos="6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“Predecessor Company” means Northeast Bancorp and its subsidiary prior to the closing of the merger with FHB Formation LLC on December 29, 2010.</w:t>
      </w: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term borrowings include securities sold under repurchase agreements and sweep accounts.</w:t>
      </w:r>
    </w:p>
    <w:p>
      <w:pPr>
        <w:spacing w:after="0" w:line="9" w:lineRule="exact"/>
        <w:rPr>
          <w:rFonts w:ascii="Arial" w:cs="Arial" w:eastAsia="Arial" w:hAnsi="Arial"/>
          <w:sz w:val="18"/>
          <w:szCs w:val="18"/>
          <w:color w:val="auto"/>
        </w:rPr>
      </w:pPr>
    </w:p>
    <w:p>
      <w:pPr>
        <w:ind w:left="700" w:right="280" w:hanging="368"/>
        <w:spacing w:after="0" w:line="250" w:lineRule="auto"/>
        <w:tabs>
          <w:tab w:leader="none" w:pos="6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average balance of borrowings associated with discontinued operations has been excluded from interest expense, interest rate spread, and net interest margin.</w:t>
      </w: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0"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Year Ended June 30, 2013</w:t>
      </w:r>
    </w:p>
    <w:p>
      <w:pPr>
        <w:jc w:val="center"/>
        <w:ind w:left="3200"/>
        <w:spacing w:after="0" w:line="236" w:lineRule="auto"/>
        <w:rPr>
          <w:sz w:val="20"/>
          <w:szCs w:val="20"/>
          <w:color w:val="auto"/>
        </w:rPr>
      </w:pPr>
      <w:r>
        <w:rPr>
          <w:rFonts w:ascii="Arial" w:cs="Arial" w:eastAsia="Arial" w:hAnsi="Arial"/>
          <w:sz w:val="14"/>
          <w:szCs w:val="14"/>
          <w:b w:val="1"/>
          <w:bCs w:val="1"/>
          <w:color w:val="auto"/>
        </w:rPr>
        <w:t>Compared to the Year Ended June 30,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Change Due to Volume</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9"/>
              </w:rPr>
              <w:t>Change Due to Rate</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9"/>
              </w:rPr>
              <w:t>Total Change</w:t>
            </w:r>
          </w:p>
        </w:tc>
        <w:tc>
          <w:tcPr>
            <w:tcW w:w="12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10,283</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18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r>
      <w:tr>
        <w:trPr>
          <w:trHeight w:val="210"/>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income</w:t>
            </w: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9,529</w:t>
            </w:r>
          </w:p>
        </w:tc>
        <w:tc>
          <w:tcPr>
            <w:tcW w:w="120" w:type="dxa"/>
            <w:vAlign w:val="bottom"/>
            <w:tcBorders>
              <w:bottom w:val="single" w:sz="8" w:color="CCEEFF"/>
            </w:tcBorders>
          </w:tcPr>
          <w:p>
            <w:pPr>
              <w:spacing w:after="0"/>
              <w:rPr>
                <w:sz w:val="18"/>
                <w:szCs w:val="18"/>
                <w:color w:val="auto"/>
              </w:rPr>
            </w:pPr>
          </w:p>
        </w:tc>
      </w:tr>
      <w:tr>
        <w:trPr>
          <w:trHeight w:val="104"/>
        </w:trPr>
        <w:tc>
          <w:tcPr>
            <w:tcW w:w="4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04"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8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8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8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10"/>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expense</w:t>
            </w:r>
          </w:p>
        </w:tc>
        <w:tc>
          <w:tcPr>
            <w:tcW w:w="8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8"/>
                <w:szCs w:val="18"/>
                <w:color w:val="auto"/>
              </w:rPr>
            </w:pPr>
          </w:p>
        </w:tc>
      </w:tr>
      <w:tr>
        <w:trPr>
          <w:trHeight w:val="21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in net interest and dividend income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rate/volume comparison of fiscal 2012 and 2011 has not been presented because the successor and predecessor periods in fiscal 2011 are not comparable to fiscal 2012 due to the significant effect of acquisition accounting adjustments.</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the period, the 4.62% net interest margin earned was 93 basis points higher than that earned for the year ended June 30, 2012. The net interest margin improved during fiscal 2013 principally due to increased purchased loan volume, offset in part by a decline in the effect of accretion of Merger-related fair value adjustments and a reduction in the yield earned on investment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and related yields recognized on the Company’s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June 30,</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Interest</w:t>
            </w: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0"/>
                <w:szCs w:val="10"/>
                <w:color w:val="auto"/>
              </w:rPr>
            </w:pPr>
          </w:p>
        </w:tc>
        <w:tc>
          <w:tcPr>
            <w:tcW w:w="11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Interest</w:t>
            </w:r>
          </w:p>
        </w:tc>
        <w:tc>
          <w:tcPr>
            <w:tcW w:w="15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Income</w:t>
            </w: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252,199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297,348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LASG:</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117,205</w:t>
            </w: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18,801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16.04%</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39,022</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6,379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132,111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0"/>
        </w:trPr>
        <w:tc>
          <w:tcPr>
            <w:tcW w:w="2520" w:type="dxa"/>
            <w:vAlign w:val="bottom"/>
          </w:tcPr>
          <w:p>
            <w:pPr>
              <w:ind w:left="5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384,310</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35,017</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339,648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24,734</w:t>
            </w:r>
          </w:p>
        </w:tc>
        <w:tc>
          <w:tcPr>
            <w:tcW w:w="20" w:type="dxa"/>
            <w:vAlign w:val="bottom"/>
            <w:tcBorders>
              <w:bottom w:val="single" w:sz="8" w:color="auto"/>
            </w:tcBorders>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yield on purchased loans was increased by unscheduled loan payoffs, which resulted in immediate recognition of the prepaid loans’ discount in interest income. The following table details the “total return” on purchased loans, which includes transactional income of $10.6 million for the year ended June 30,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right"/>
              <w:ind w:right="1128"/>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Income</w:t>
            </w:r>
          </w:p>
        </w:tc>
        <w:tc>
          <w:tcPr>
            <w:tcW w:w="10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Return (1)</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Return (1)</w:t>
            </w:r>
          </w:p>
        </w:tc>
        <w:tc>
          <w:tcPr>
            <w:tcW w:w="18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0" w:type="dxa"/>
            <w:vAlign w:val="bottom"/>
            <w:gridSpan w:val="4"/>
          </w:tcPr>
          <w:p>
            <w:pPr>
              <w:jc w:val="right"/>
              <w:ind w:right="612"/>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8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Transactional income: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684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Accelerated accretion and loan fees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4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6.58%</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6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6.71%</w:t>
            </w:r>
          </w:p>
        </w:tc>
      </w:tr>
      <w:tr>
        <w:trPr>
          <w:trHeight w:val="210"/>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8.93%</w:t>
            </w:r>
          </w:p>
        </w:tc>
      </w:tr>
      <w:tr>
        <w:trPr>
          <w:trHeight w:val="210"/>
        </w:trPr>
        <w:tc>
          <w:tcPr>
            <w:tcW w:w="3720" w:type="dxa"/>
            <w:vAlign w:val="bottom"/>
          </w:tcPr>
          <w:p>
            <w:pPr>
              <w:ind w:left="54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21,636</w:t>
            </w:r>
          </w:p>
        </w:tc>
        <w:tc>
          <w:tcPr>
            <w:tcW w:w="4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18.33%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7,247</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18.57%</w:t>
            </w:r>
          </w:p>
        </w:tc>
      </w:tr>
      <w:tr>
        <w:trPr>
          <w:trHeight w:val="20"/>
        </w:trPr>
        <w:tc>
          <w:tcPr>
            <w:tcW w:w="3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60" w:firstLine="8"/>
        <w:spacing w:after="0" w:line="277"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accretion of fair value adjustments on the net interest margin,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Income</w:t>
            </w:r>
          </w:p>
        </w:tc>
        <w:tc>
          <w:tcPr>
            <w:tcW w:w="100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Effect on</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0"/>
                <w:szCs w:val="10"/>
                <w:color w:val="auto"/>
              </w:rPr>
            </w:pPr>
          </w:p>
        </w:tc>
        <w:tc>
          <w:tcPr>
            <w:tcW w:w="11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Income</w:t>
            </w:r>
          </w:p>
        </w:tc>
        <w:tc>
          <w:tcPr>
            <w:tcW w:w="98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Effect on</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(Expense)</w:t>
            </w: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Yield / Rate</w:t>
            </w:r>
          </w:p>
        </w:tc>
        <w:tc>
          <w:tcPr>
            <w:tcW w:w="18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(Expense)</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Yield / 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131,199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138,708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384,310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339,648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133,179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81,890</w:t>
            </w: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431,692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989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356,491</w:t>
            </w: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1,196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112,812</w:t>
            </w: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Junior subordinated debentures (1)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300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2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2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478,406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2,751</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4,202</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0" w:right="29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t>(1)  Includes the effects of hedge amortization.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total cost of funds improved to 1.16% in fiscal 2013, down from 1.20% in fiscal 2012, principally due to a 1 basis point decrease in the cost of interest-bearing deposits and a $3.4 million increase in average non-interest bearing deposits.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Quarterly, the Company determines the amount of its allowance for loan losses adequate to provide for losses inherent in the Company’s loan portfolios, with the provision for loan losses determined by the net change in the allowance for loan losses. For acquired loans accounted for under ASC 310-30, a provision for loan loss is recorded when estimates of future cash flows decrease due to credit deterioration.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provision for loan losses for the fiscal year ended June 30, 2013 was $1.1 million. This compares to a provision for loan losses of $946 thousand for the year ended June 30, 2012. At June 30, 2013 and 2012, the allowance for loan losses stood at $1.1 million and $824 thousand, respectively, and the ratio of allowance for loan losses to total loans was 0.26% and 0.23%, respectively. Net charge-offs for the fiscal year ended June 30, 2013 totaled $803 thousand, representing approximately 0.21% of the Company’s average portfolio loan balance during the fiscal year. This compares to $559 thousand, or 0.17%, in fiscal 2012, representing an increase of $242 thousand in fiscal 2013, principally due to one commercial business loan relationship.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allowance for loan losses, see “Asset Quality.”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Noninterest income for the fiscal year ended June 30, 2013 totaled $12.2 million, an increase of $2.5 million, or 26.3%, from fiscal 2012. When compared to fiscal 2012, the increase was principally due to the following:</w:t>
      </w:r>
    </w:p>
    <w:p>
      <w:pPr>
        <w:spacing w:after="0" w:line="170" w:lineRule="exact"/>
        <w:rPr>
          <w:sz w:val="20"/>
          <w:szCs w:val="20"/>
          <w:color w:val="auto"/>
        </w:rPr>
      </w:pPr>
    </w:p>
    <w:p>
      <w:pPr>
        <w:ind w:left="660" w:right="16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 million increase in gains recognized on portfolio loan and real estate owned sales, principally because of purchased loan sales and commercial REO resolutions during fiscal 2013;</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$248 thousand increase in gains on residential loans originated for sale. During fiscal 2013, the Company expanded mortgage-banking activities into Massachusetts and increased sales volume to $143.2 million from $121.4 million in fiscal 2012;</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$265 thousand increase in customer fees, due to an increase in commercial loan servicing fees;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$217 thousand increase in BOLI income, due to death benefits received in fiscal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Noninterest expense for the fiscal year ended June 30, 2013 totaled $34.7 million, an increase of $6.5 million, or 22.9%, from fiscal 2012. When compared to fiscal 2012, the increase was principally due to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59"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$3.6 million in salaries and benefits, reflecting increased staffing associated with the LASG and operational areas supporting the LASG, residential lending, and ableBanking. The Company’s employees, on a full-time equivalent basis, totaled 219 at June 30, 2013, compared to 203 at June 30, 2012. The Company also incurred approximately $388 thousand of severance expense in fiscal 2013 associated with the departure of a senior manager and the Bank’s decision to exit the investment brokerage business;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increase of $940 thousand in occupancy and equipment expense, principally due to increased rent associated with the relocation of the Company’s office in Boston, MA, and depreciation of investments in new technology, principally those associated with ableBanking;</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increase of $358 thousand in marketing expense, principally due to promotional efforts for ableBanking and residential mortgage lending;</w:t>
      </w:r>
    </w:p>
    <w:p>
      <w:pPr>
        <w:spacing w:after="0" w:line="236" w:lineRule="exact"/>
        <w:rPr>
          <w:rFonts w:ascii="Arial" w:cs="Arial" w:eastAsia="Arial" w:hAnsi="Arial"/>
          <w:sz w:val="17"/>
          <w:szCs w:val="17"/>
          <w:color w:val="auto"/>
        </w:rPr>
      </w:pPr>
    </w:p>
    <w:p>
      <w:pPr>
        <w:ind w:left="660" w:right="32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$660 thousand in loan acquisition and collection expense, principally due an increase of $19.6 million in loan acquisitions in fiscal 2013, as well as the overall size of the purchased loan portfolio which increased by $82.3 million;</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settlement of a lawsuit in the amount of $1.0 million. The summons and complaint was filed in August of 2011, in connection with a dispute regarding certain deposit account activity occurring in 2005 and 2006.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Income tax expense for the fiscal year ended June 30, 2013 totaled $1.9 million, representing 30.6% of pretax income. The Company’s effective tax rate differed from its statutory federal rate because of affordable housing tax credits totaling $117 thousand and non-taxable BOLI income of $718 thousand.</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 expense for the fiscal year ended June 30, 2012 totaled $181 thousand, representing 15.1% of pretax income. The effective tax rate for the period reflects the level of pretax income in relation to nontaxable income, principally BOLI income totaling $501 thousand, and low-income housing tax credits totaling $118 thousand.</w:t>
      </w:r>
    </w:p>
    <w:p>
      <w:pPr>
        <w:sectPr>
          <w:pgSz w:w="11900" w:h="16838" w:orient="portrait"/>
          <w:cols w:equalWidth="0" w:num="1">
            <w:col w:w="11400"/>
          </w:cols>
          <w:pgMar w:left="240" w:top="571" w:right="259" w:bottom="0" w:gutter="0" w:footer="0" w:header="0"/>
        </w:sectPr>
      </w:pPr>
    </w:p>
    <w:bookmarkStart w:id="27" w:name="page28"/>
    <w:bookmarkEnd w:id="27"/>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Discontinued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fiscal 2012, the Company sold intangible assets (principally customer lists) and certain fixed assets of Northeast Bank Insurance Group (“NBIG”) to local insurance agencies in two separate transactions. The Varney Agency, Inc. of Bangor, Maine purchased the assets of nine NBIG offices in Anson, Auburn, Augusta, Bethel, Livermore Falls, Scarborough, South Paris, Thomaston and Turner, Maine. The NBIG office in Berwick, Maine, which now operates under the name of Spence &amp; Matthews, was acquired by a member of NBIG’s senior management team. In connection with the transaction, the Company also repaid borrowings associated with NBIG totaling $2.1 million.</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no longer conducts any significant operations in the insurance agency business, and therefore has classified the operating results of NBIG, and the associated gain on sale of the division, as discontinued operations in the consolidated financial statements.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income from discontinued operations for the fiscal year ended June 30, 2012 was $1.1 million, or $0.26 per diluted share, which includes a pre-tax gain on the sale of NBIG intangibles and certain fixed assets, net of expenses, of $1.6 million. The Company also recorded pre-tax income associated with operations of $186 thousand prior to the asset sale. Income tax expense associated with discontinued operations for the year ended June 30, 2012 was $605 thousand, or 34.5% of pre-tax income.</w:t>
      </w:r>
    </w:p>
    <w:p>
      <w:pPr>
        <w:spacing w:after="0" w:line="183" w:lineRule="exact"/>
        <w:rPr>
          <w:sz w:val="20"/>
          <w:szCs w:val="20"/>
          <w:color w:val="auto"/>
        </w:rPr>
      </w:pPr>
    </w:p>
    <w:p>
      <w:pPr>
        <w:jc w:val="center"/>
        <w:ind w:right="9840"/>
        <w:spacing w:after="0"/>
        <w:rPr>
          <w:sz w:val="20"/>
          <w:szCs w:val="20"/>
          <w:color w:val="auto"/>
        </w:rPr>
      </w:pPr>
      <w:r>
        <w:rPr>
          <w:rFonts w:ascii="Arial" w:cs="Arial" w:eastAsia="Arial" w:hAnsi="Arial"/>
          <w:sz w:val="16"/>
          <w:szCs w:val="16"/>
          <w:b w:val="1"/>
          <w:bCs w:val="1"/>
          <w:color w:val="auto"/>
        </w:rPr>
        <w:t>Financial Condition</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assets grew to $670.6 million at June 30, 2013, representing an increase of $1.4 million, or 0.2%, compared to $669.2 million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2012. Significant changes in the Company’s balance sheet components include:</w:t>
      </w:r>
    </w:p>
    <w:p>
      <w:pPr>
        <w:spacing w:after="0" w:line="211" w:lineRule="exact"/>
        <w:rPr>
          <w:sz w:val="20"/>
          <w:szCs w:val="20"/>
          <w:color w:val="auto"/>
        </w:rPr>
      </w:pPr>
    </w:p>
    <w:p>
      <w:pPr>
        <w:ind w:left="660" w:right="20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loan growth of $79.1 million, or 22.2%, principally due to net growth of $116.1 million in commercial loans purchased or originated by the Bank’s LASG, offset by net amortization and payoffs of $37.0 million in the Community Banking Division loan portfolio;</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deposit growth $62.4 million, or 14.8%, primarily due to a $69.0 million increase in deposits raised through ableBanking, the Bank’s online affinity deposit platform;</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$56.8 million decrease in borrowings, to the result of maturing wholesale repurchase agreements and FHLB advances, and</w:t>
      </w:r>
    </w:p>
    <w:p>
      <w:pPr>
        <w:spacing w:after="0" w:line="225" w:lineRule="exact"/>
        <w:rPr>
          <w:rFonts w:ascii="Arial" w:cs="Arial" w:eastAsia="Arial" w:hAnsi="Arial"/>
          <w:sz w:val="18"/>
          <w:szCs w:val="18"/>
          <w:color w:val="auto"/>
        </w:rPr>
      </w:pPr>
    </w:p>
    <w:p>
      <w:pPr>
        <w:ind w:left="5620" w:hanging="5288"/>
        <w:spacing w:after="0" w:line="528" w:lineRule="auto"/>
        <w:tabs>
          <w:tab w:leader="none" w:pos="6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$5.3 million, or 4.5%, decrease in stockholders’ equity, primarily due to the redemption of TARP preferred stock and warrants totaling $4.3 million.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Cash and cash equivalents decreased $62.3 million, or 48.6%, to $65.9 million at June 30, 2013 as compared to $128.3 million at June 30, 2012. This decrease occurred as cash was used to fund loan growth.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Investments Securities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available-for-sale securities portfolio totaled $121.6 million and $133.3 million at June 30, 2013 and 2012, respectively. The year over year decrease of $11.7 million, or 8.8%, was primarily due to principal amortization of mortgage-backed securities during the year. Mortgage-backed securities and U.S. Government-sponsored enterprise bonds totaling $53.5 million were pledged for outstanding borrowings at June 30, 2013.</w:t>
      </w:r>
    </w:p>
    <w:p>
      <w:pPr>
        <w:spacing w:after="0" w:line="16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At June 30, 2013, the Company’s investment portfolio was comprised entirely of U.S. Government-sponsored enterprise bonds and mortgage-backed securities guaranteed by government agencies. Generally, funds retained by the Company as a result of increases in deposits or decreases in loans, to the extent not immediately deployed by the Bank, are invested in securities held in its investment portfolio, which serves as a source of liquidity for the Company. The composition of the Company’s securities portfolio at the dates indicated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June 30, 2013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June 30,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U.S. Government agency</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45,289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48,827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48,737</w:t>
            </w:r>
          </w:p>
        </w:tc>
        <w:tc>
          <w:tcPr>
            <w:tcW w:w="0" w:type="dxa"/>
            <w:vAlign w:val="bottom"/>
          </w:tcPr>
          <w:p>
            <w:pPr>
              <w:spacing w:after="0"/>
              <w:rPr>
                <w:sz w:val="1"/>
                <w:szCs w:val="1"/>
                <w:color w:val="auto"/>
              </w:rPr>
            </w:pPr>
          </w:p>
        </w:tc>
      </w:tr>
      <w:tr>
        <w:trPr>
          <w:trHeight w:val="202"/>
        </w:trPr>
        <w:tc>
          <w:tcPr>
            <w:tcW w:w="2020" w:type="dxa"/>
            <w:vAlign w:val="bottom"/>
          </w:tcPr>
          <w:p>
            <w:pPr>
              <w:spacing w:after="0" w:line="201" w:lineRule="exact"/>
              <w:rPr>
                <w:sz w:val="20"/>
                <w:szCs w:val="20"/>
                <w:color w:val="auto"/>
              </w:rPr>
            </w:pPr>
            <w:r>
              <w:rPr>
                <w:rFonts w:ascii="Arial" w:cs="Arial" w:eastAsia="Arial" w:hAnsi="Arial"/>
                <w:sz w:val="18"/>
                <w:szCs w:val="18"/>
                <w:color w:val="auto"/>
                <w:w w:val="97"/>
              </w:rPr>
              <w:t>Agency mortgage-backed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78,944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76,264</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86,816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87,456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99,637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99,558</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9"/>
              </w:rPr>
              <w:t>Trust preferred securities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table below sets forth certain information regarding the contractual maturities and weighted average yields of the Company’s securities portfolio at June 30, 2013. Actual maturities of mortgage-backed securities will differ from contractual maturities due both to scheduled amortization and prepayments.</w:t>
      </w:r>
    </w:p>
    <w:p>
      <w:pPr>
        <w:sectPr>
          <w:pgSz w:w="11900" w:h="16847" w:orient="portrait"/>
          <w:cols w:equalWidth="0" w:num="1">
            <w:col w:w="11400"/>
          </w:cols>
          <w:pgMar w:left="240" w:top="121" w:right="259" w:bottom="0" w:gutter="0" w:footer="0" w:header="0"/>
        </w:sectPr>
      </w:pPr>
    </w:p>
    <w:p>
      <w:pPr>
        <w:spacing w:after="0" w:line="116" w:lineRule="exact"/>
        <w:rPr>
          <w:sz w:val="20"/>
          <w:szCs w:val="20"/>
          <w:color w:val="auto"/>
        </w:rPr>
      </w:pPr>
    </w:p>
    <w:p>
      <w:pPr>
        <w:ind w:left="3020"/>
        <w:spacing w:after="0"/>
        <w:tabs>
          <w:tab w:leader="none" w:pos="4380" w:val="left"/>
          <w:tab w:leader="none" w:pos="8440" w:val="left"/>
          <w:tab w:leader="none" w:pos="10360" w:val="left"/>
        </w:tabs>
        <w:rPr>
          <w:sz w:val="20"/>
          <w:szCs w:val="20"/>
          <w:color w:val="auto"/>
        </w:rPr>
      </w:pPr>
      <w:r>
        <w:rPr>
          <w:rFonts w:ascii="Arial" w:cs="Arial" w:eastAsia="Arial" w:hAnsi="Arial"/>
          <w:sz w:val="14"/>
          <w:szCs w:val="14"/>
          <w:b w:val="1"/>
          <w:bCs w:val="1"/>
          <w:color w:val="auto"/>
        </w:rPr>
        <w:t>Within One Year</w:t>
      </w:r>
      <w:r>
        <w:rPr>
          <w:sz w:val="20"/>
          <w:szCs w:val="20"/>
          <w:color w:val="auto"/>
        </w:rPr>
        <w:tab/>
      </w:r>
      <w:r>
        <w:rPr>
          <w:rFonts w:ascii="Arial" w:cs="Arial" w:eastAsia="Arial" w:hAnsi="Arial"/>
          <w:sz w:val="14"/>
          <w:szCs w:val="14"/>
          <w:b w:val="1"/>
          <w:bCs w:val="1"/>
          <w:color w:val="auto"/>
        </w:rPr>
        <w:t>After One Year Through Five After Five Years Through Ten</w:t>
      </w:r>
      <w:r>
        <w:rPr>
          <w:sz w:val="20"/>
          <w:szCs w:val="20"/>
          <w:color w:val="auto"/>
        </w:rPr>
        <w:tab/>
      </w:r>
      <w:r>
        <w:rPr>
          <w:rFonts w:ascii="Arial" w:cs="Arial" w:eastAsia="Arial" w:hAnsi="Arial"/>
          <w:sz w:val="14"/>
          <w:szCs w:val="14"/>
          <w:b w:val="1"/>
          <w:bCs w:val="1"/>
          <w:color w:val="auto"/>
        </w:rPr>
        <w:t>After Ten Years</w:t>
      </w:r>
      <w:r>
        <w:rPr>
          <w:sz w:val="20"/>
          <w:szCs w:val="20"/>
          <w:color w:val="auto"/>
        </w:rPr>
        <w:tab/>
      </w:r>
      <w:r>
        <w:rPr>
          <w:rFonts w:ascii="Arial" w:cs="Arial" w:eastAsia="Arial" w:hAnsi="Arial"/>
          <w:sz w:val="13"/>
          <w:szCs w:val="13"/>
          <w:b w:val="1"/>
          <w:bCs w:val="1"/>
          <w:color w:val="auto"/>
        </w:rPr>
        <w:t>Total</w:t>
      </w:r>
    </w:p>
    <w:p>
      <w:pPr>
        <w:sectPr>
          <w:pgSz w:w="11900" w:h="16847" w:orient="portrait"/>
          <w:cols w:equalWidth="0" w:num="1">
            <w:col w:w="11400"/>
          </w:cols>
          <w:pgMar w:left="240" w:top="121" w:right="259" w:bottom="0" w:gutter="0" w:footer="0" w:header="0"/>
          <w:type w:val="continuous"/>
        </w:sectPr>
      </w:pPr>
    </w:p>
    <w:bookmarkStart w:id="28" w:name="page29"/>
    <w:bookmarkEnd w:id="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9"/>
              </w:rPr>
              <w:t>Years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Years</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Yield</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Yield</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Yield</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Yield</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4"/>
              </w:rPr>
              <w:t>U.S. Government agency securities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$ 45,332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45,332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3"/>
              </w:rPr>
              <w:t>Agency mortgage-backed securities</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40,622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35,643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76,265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0"/>
        </w:trPr>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$ 45,332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35,643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0.79%</w:t>
            </w: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Management reviews the portfolio of investments on an ongoing basis to determine if there have been any other-than-temporary declines in value. No other-than-temporary impairment expense was recognized during fiscal 2013 or fiscal 2012.</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Loans, including loans held-for-sale, totaled $444.0 million at June 30, 2013, compared to $366.1 million at June 30, 2012. The increase of $77.9 million, or 21.3%, at June 30, 2013, was principally due to net increases of $83.7 million and $10.1 million in commercial real estate and commercial business loans, respectively, offset by decreases in all other categories. During fiscal 2013, the LASG purchased $121.3 million in loans, consisting principally of commercial real estate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(excluding loans held-for-sale) at the dates indicated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6"/>
              </w:rPr>
              <w:t>Successor Company</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Predecessor Company</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7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6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June 30, 2013</w:t>
            </w:r>
          </w:p>
        </w:tc>
        <w:tc>
          <w:tcPr>
            <w:tcW w:w="40" w:type="dxa"/>
            <w:vAlign w:val="bottom"/>
          </w:tcPr>
          <w:p>
            <w:pPr>
              <w:spacing w:after="0"/>
              <w:rPr>
                <w:sz w:val="12"/>
                <w:szCs w:val="12"/>
                <w:color w:val="auto"/>
              </w:rPr>
            </w:pPr>
          </w:p>
        </w:tc>
        <w:tc>
          <w:tcPr>
            <w:tcW w:w="170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June 30, 2012</w:t>
            </w:r>
          </w:p>
        </w:tc>
        <w:tc>
          <w:tcPr>
            <w:tcW w:w="150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June 30, 2011</w:t>
            </w:r>
          </w:p>
        </w:tc>
        <w:tc>
          <w:tcPr>
            <w:tcW w:w="2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June 30, 2010</w:t>
            </w:r>
          </w:p>
        </w:tc>
        <w:tc>
          <w:tcPr>
            <w:tcW w:w="146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June 30, 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8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Percent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Percent</w:t>
            </w:r>
          </w:p>
        </w:tc>
        <w:tc>
          <w:tcPr>
            <w:tcW w:w="2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Percent</w:t>
            </w:r>
          </w:p>
        </w:tc>
        <w:tc>
          <w:tcPr>
            <w:tcW w:w="2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Percent</w:t>
            </w:r>
          </w:p>
        </w:tc>
        <w:tc>
          <w:tcPr>
            <w:tcW w:w="2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Total</w:t>
            </w: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of Total</w:t>
            </w:r>
          </w:p>
        </w:tc>
        <w:tc>
          <w:tcPr>
            <w:tcW w:w="820" w:type="dxa"/>
            <w:vAlign w:val="bottom"/>
            <w:gridSpan w:val="2"/>
            <w:vMerge w:val="continue"/>
          </w:tcPr>
          <w:p>
            <w:pPr>
              <w:spacing w:after="0"/>
              <w:rPr>
                <w:sz w:val="14"/>
                <w:szCs w:val="14"/>
                <w:color w:val="auto"/>
              </w:rPr>
            </w:pPr>
          </w:p>
        </w:tc>
        <w:tc>
          <w:tcPr>
            <w:tcW w:w="90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of Total</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Total</w:t>
            </w:r>
          </w:p>
        </w:tc>
        <w:tc>
          <w:tcPr>
            <w:tcW w:w="820" w:type="dxa"/>
            <w:vAlign w:val="bottom"/>
            <w:gridSpan w:val="2"/>
            <w:vMerge w:val="continue"/>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$ 127,829</w:t>
            </w:r>
          </w:p>
        </w:tc>
        <w:tc>
          <w:tcPr>
            <w:tcW w:w="1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29.36% $ 137,571</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38.61% $ 145,477</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$ 155,613</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40.70% $ 138,900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264,448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60.74%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180,735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50.74%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117,761</w:t>
            </w:r>
          </w:p>
        </w:tc>
        <w:tc>
          <w:tcPr>
            <w:tcW w:w="9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38.00%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121,175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31.70%</w:t>
            </w:r>
          </w:p>
        </w:tc>
        <w:tc>
          <w:tcPr>
            <w:tcW w:w="720" w:type="dxa"/>
            <w:vAlign w:val="bottom"/>
          </w:tcPr>
          <w:p>
            <w:pPr>
              <w:jc w:val="right"/>
              <w:spacing w:after="0"/>
              <w:rPr>
                <w:sz w:val="20"/>
                <w:szCs w:val="20"/>
                <w:color w:val="auto"/>
              </w:rPr>
            </w:pPr>
            <w:r>
              <w:rPr>
                <w:rFonts w:ascii="Arial" w:cs="Arial" w:eastAsia="Arial" w:hAnsi="Arial"/>
                <w:sz w:val="18"/>
                <w:szCs w:val="18"/>
                <w:color w:val="auto"/>
              </w:rPr>
              <w:t>120,730</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Commercial business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29,720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19,612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22,225</w:t>
            </w:r>
          </w:p>
        </w:tc>
        <w:tc>
          <w:tcPr>
            <w:tcW w:w="9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7.17%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30,214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720" w:type="dxa"/>
            <w:vAlign w:val="bottom"/>
          </w:tcPr>
          <w:p>
            <w:pPr>
              <w:jc w:val="right"/>
              <w:spacing w:after="0"/>
              <w:rPr>
                <w:sz w:val="20"/>
                <w:szCs w:val="20"/>
                <w:color w:val="auto"/>
              </w:rPr>
            </w:pPr>
            <w:r>
              <w:rPr>
                <w:rFonts w:ascii="Arial" w:cs="Arial" w:eastAsia="Arial" w:hAnsi="Arial"/>
                <w:sz w:val="18"/>
                <w:szCs w:val="18"/>
                <w:color w:val="auto"/>
              </w:rPr>
              <w:t>29,211</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13,337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17,149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22,435</w:t>
            </w:r>
          </w:p>
        </w:tc>
        <w:tc>
          <w:tcPr>
            <w:tcW w:w="9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69,782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98,426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0"/>
        </w:trPr>
        <w:tc>
          <w:tcPr>
            <w:tcW w:w="27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435,376</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356,254</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309,913</w:t>
            </w: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382,309</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393,651</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6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5,806</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$ 434,233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$ 355,430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$ 309,476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$ 376,503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$ 387,887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2013</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2012</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Community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LASG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Percent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Community</w:t>
            </w: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LASG</w:t>
            </w:r>
          </w:p>
        </w:tc>
        <w:tc>
          <w:tcPr>
            <w:tcW w:w="200" w:type="dxa"/>
            <w:vAlign w:val="bottom"/>
          </w:tcPr>
          <w:p>
            <w:pPr>
              <w:spacing w:after="0"/>
              <w:rPr>
                <w:sz w:val="10"/>
                <w:szCs w:val="10"/>
                <w:color w:val="auto"/>
              </w:rPr>
            </w:pP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Percent</w:t>
            </w: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Banking Division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Total</w:t>
            </w:r>
          </w:p>
        </w:tc>
        <w:tc>
          <w:tcPr>
            <w:tcW w:w="12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Banking Division</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Total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1" w:lineRule="exact"/>
              <w:rPr>
                <w:sz w:val="20"/>
                <w:szCs w:val="20"/>
                <w:color w:val="auto"/>
              </w:rPr>
            </w:pPr>
            <w:r>
              <w:rPr>
                <w:rFonts w:ascii="Arial" w:cs="Arial" w:eastAsia="Arial" w:hAnsi="Arial"/>
                <w:sz w:val="18"/>
                <w:szCs w:val="18"/>
                <w:color w:val="auto"/>
              </w:rPr>
              <w:t>Residential real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estate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89,734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20.61%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90,793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90,944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25.53%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35,389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42,696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estate</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78,915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21,487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100,402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97,146</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3,050</w:t>
            </w: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100,196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28.12%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80"/>
              <w:spacing w:after="0"/>
              <w:rPr>
                <w:sz w:val="20"/>
                <w:szCs w:val="20"/>
                <w:color w:val="auto"/>
              </w:rPr>
            </w:pPr>
            <w:r>
              <w:rPr>
                <w:rFonts w:ascii="Arial" w:cs="Arial" w:eastAsia="Arial" w:hAnsi="Arial"/>
                <w:sz w:val="18"/>
                <w:szCs w:val="18"/>
                <w:color w:val="auto"/>
                <w:w w:val="99"/>
              </w:rPr>
              <w:t>Commercial business</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29,686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17,732</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1,880</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19,612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17,149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268,590</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61.69%</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266,703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271,784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1" w:lineRule="exact"/>
              <w:rPr>
                <w:sz w:val="20"/>
                <w:szCs w:val="20"/>
                <w:color w:val="auto"/>
              </w:rPr>
            </w:pPr>
            <w:r>
              <w:rPr>
                <w:rFonts w:ascii="Arial" w:cs="Arial" w:eastAsia="Arial" w:hAnsi="Arial"/>
                <w:sz w:val="18"/>
                <w:szCs w:val="18"/>
                <w:color w:val="auto"/>
              </w:rPr>
              <w:t>Residential real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estate</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3,931</w:t>
            </w: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3,931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Commercial business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estate</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164,046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164,046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37.68%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80,539</w:t>
            </w: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80,539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22.62%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166,786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166,786</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205,665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435,376</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266,703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356,254</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scheduled maturity of the Company’s loan portfolio at June 30, 2013. Demand loans, loans having no stated repayment schedule, and overdraft loans are reported as being due in less than one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Scheduled Loan Maturities</w:t>
            </w: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9"/>
              </w:rPr>
              <w:t>Within One Year</w:t>
            </w:r>
          </w:p>
        </w:tc>
        <w:tc>
          <w:tcPr>
            <w:tcW w:w="280" w:type="dxa"/>
            <w:vAlign w:val="bottom"/>
          </w:tcPr>
          <w:p>
            <w:pPr>
              <w:spacing w:after="0"/>
              <w:rPr>
                <w:sz w:val="10"/>
                <w:szCs w:val="10"/>
                <w:color w:val="auto"/>
              </w:rPr>
            </w:pPr>
          </w:p>
        </w:tc>
        <w:tc>
          <w:tcPr>
            <w:tcW w:w="1600" w:type="dxa"/>
            <w:vAlign w:val="bottom"/>
          </w:tcPr>
          <w:p>
            <w:pPr>
              <w:jc w:val="right"/>
              <w:ind w:right="360"/>
              <w:spacing w:after="0" w:line="119" w:lineRule="exact"/>
              <w:rPr>
                <w:sz w:val="20"/>
                <w:szCs w:val="20"/>
                <w:color w:val="auto"/>
              </w:rPr>
            </w:pPr>
            <w:r>
              <w:rPr>
                <w:rFonts w:ascii="Arial" w:cs="Arial" w:eastAsia="Arial" w:hAnsi="Arial"/>
                <w:sz w:val="13"/>
                <w:szCs w:val="13"/>
                <w:b w:val="1"/>
                <w:bCs w:val="1"/>
                <w:color w:val="auto"/>
              </w:rPr>
              <w:t>After One Year</w:t>
            </w:r>
          </w:p>
        </w:tc>
        <w:tc>
          <w:tcPr>
            <w:tcW w:w="360" w:type="dxa"/>
            <w:vAlign w:val="bottom"/>
          </w:tcPr>
          <w:p>
            <w:pPr>
              <w:spacing w:after="0"/>
              <w:rPr>
                <w:sz w:val="10"/>
                <w:szCs w:val="10"/>
                <w:color w:val="auto"/>
              </w:rPr>
            </w:pPr>
          </w:p>
        </w:tc>
        <w:tc>
          <w:tcPr>
            <w:tcW w:w="1640" w:type="dxa"/>
            <w:vAlign w:val="bottom"/>
          </w:tcPr>
          <w:p>
            <w:pPr>
              <w:jc w:val="right"/>
              <w:ind w:right="380"/>
              <w:spacing w:after="0" w:line="119" w:lineRule="exact"/>
              <w:rPr>
                <w:sz w:val="20"/>
                <w:szCs w:val="20"/>
                <w:color w:val="auto"/>
              </w:rPr>
            </w:pPr>
            <w:r>
              <w:rPr>
                <w:rFonts w:ascii="Arial" w:cs="Arial" w:eastAsia="Arial" w:hAnsi="Arial"/>
                <w:sz w:val="13"/>
                <w:szCs w:val="13"/>
                <w:b w:val="1"/>
                <w:bCs w:val="1"/>
                <w:color w:val="auto"/>
              </w:rPr>
              <w:t>After Five Years</w:t>
            </w:r>
          </w:p>
        </w:tc>
        <w:tc>
          <w:tcPr>
            <w:tcW w:w="300" w:type="dxa"/>
            <w:vAlign w:val="bottom"/>
          </w:tcPr>
          <w:p>
            <w:pPr>
              <w:spacing w:after="0"/>
              <w:rPr>
                <w:sz w:val="10"/>
                <w:szCs w:val="10"/>
                <w:color w:val="auto"/>
              </w:rPr>
            </w:pPr>
          </w:p>
        </w:tc>
        <w:tc>
          <w:tcPr>
            <w:tcW w:w="14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8"/>
              </w:rPr>
              <w:t>After Ten Years</w:t>
            </w:r>
          </w:p>
        </w:tc>
        <w:tc>
          <w:tcPr>
            <w:tcW w:w="440" w:type="dxa"/>
            <w:vAlign w:val="bottom"/>
          </w:tcPr>
          <w:p>
            <w:pPr>
              <w:spacing w:after="0"/>
              <w:rPr>
                <w:sz w:val="10"/>
                <w:szCs w:val="10"/>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ind w:right="220"/>
              <w:spacing w:after="0"/>
              <w:rPr>
                <w:sz w:val="20"/>
                <w:szCs w:val="20"/>
                <w:color w:val="auto"/>
              </w:rPr>
            </w:pPr>
            <w:r>
              <w:rPr>
                <w:rFonts w:ascii="Arial" w:cs="Arial" w:eastAsia="Arial" w:hAnsi="Arial"/>
                <w:sz w:val="14"/>
                <w:szCs w:val="14"/>
                <w:b w:val="1"/>
                <w:bCs w:val="1"/>
                <w:color w:val="auto"/>
                <w:w w:val="97"/>
              </w:rPr>
              <w:t>Through Five Years</w:t>
            </w:r>
          </w:p>
        </w:tc>
        <w:tc>
          <w:tcPr>
            <w:tcW w:w="360" w:type="dxa"/>
            <w:vAlign w:val="bottom"/>
          </w:tcPr>
          <w:p>
            <w:pPr>
              <w:spacing w:after="0"/>
              <w:rPr>
                <w:sz w:val="14"/>
                <w:szCs w:val="14"/>
                <w:color w:val="auto"/>
              </w:rPr>
            </w:pPr>
          </w:p>
        </w:tc>
        <w:tc>
          <w:tcPr>
            <w:tcW w:w="1640" w:type="dxa"/>
            <w:vAlign w:val="bottom"/>
          </w:tcPr>
          <w:p>
            <w:pPr>
              <w:jc w:val="right"/>
              <w:ind w:right="300"/>
              <w:spacing w:after="0"/>
              <w:rPr>
                <w:sz w:val="20"/>
                <w:szCs w:val="20"/>
                <w:color w:val="auto"/>
              </w:rPr>
            </w:pPr>
            <w:r>
              <w:rPr>
                <w:rFonts w:ascii="Arial" w:cs="Arial" w:eastAsia="Arial" w:hAnsi="Arial"/>
                <w:sz w:val="14"/>
                <w:szCs w:val="14"/>
                <w:b w:val="1"/>
                <w:bCs w:val="1"/>
                <w:color w:val="auto"/>
                <w:w w:val="97"/>
              </w:rPr>
              <w:t>Through Ten Years</w:t>
            </w:r>
          </w:p>
        </w:tc>
        <w:tc>
          <w:tcPr>
            <w:tcW w:w="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21,989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84,849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125,123</w:t>
            </w:r>
          </w:p>
        </w:tc>
        <w:tc>
          <w:tcPr>
            <w:tcW w:w="0" w:type="dxa"/>
            <w:vAlign w:val="bottom"/>
          </w:tcPr>
          <w:p>
            <w:pPr>
              <w:spacing w:after="0"/>
              <w:rPr>
                <w:sz w:val="1"/>
                <w:szCs w:val="1"/>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2,057</w:t>
            </w:r>
          </w:p>
        </w:tc>
        <w:tc>
          <w:tcPr>
            <w:tcW w:w="360" w:type="dxa"/>
            <w:vAlign w:val="bottom"/>
          </w:tcPr>
          <w:p>
            <w:pPr>
              <w:spacing w:after="0"/>
              <w:rPr>
                <w:sz w:val="18"/>
                <w:szCs w:val="18"/>
                <w:color w:val="auto"/>
              </w:rPr>
            </w:pPr>
          </w:p>
        </w:tc>
        <w:tc>
          <w:tcPr>
            <w:tcW w:w="164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111"/>
        </w:trPr>
        <w:tc>
          <w:tcPr>
            <w:tcW w:w="2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18" w:right="199" w:bottom="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4,745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26,251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15,937</w:t>
            </w:r>
          </w:p>
        </w:tc>
        <w:tc>
          <w:tcPr>
            <w:tcW w:w="5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53,469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100,402</w:t>
            </w: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12,822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76,624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17,882</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60,718</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164,046</w:t>
            </w: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Non-mortgage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18,224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1,937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29,686</w:t>
            </w: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5,030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13,337</w:t>
            </w:r>
          </w:p>
        </w:tc>
      </w:tr>
      <w:tr>
        <w:trPr>
          <w:trHeight w:val="210"/>
        </w:trPr>
        <w:tc>
          <w:tcPr>
            <w:tcW w:w="2540" w:type="dxa"/>
            <w:vAlign w:val="bottom"/>
          </w:tcPr>
          <w:p>
            <w:pPr>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41,627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129,842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62,775</w:t>
            </w:r>
          </w:p>
        </w:tc>
        <w:tc>
          <w:tcPr>
            <w:tcW w:w="2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205,132</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1"/>
          </w:tcPr>
          <w:p>
            <w:pPr>
              <w:jc w:val="center"/>
              <w:ind w:left="832"/>
              <w:spacing w:after="0"/>
              <w:rPr>
                <w:sz w:val="20"/>
                <w:szCs w:val="20"/>
                <w:color w:val="auto"/>
              </w:rPr>
            </w:pPr>
            <w:r>
              <w:rPr>
                <w:rFonts w:ascii="Arial" w:cs="Arial" w:eastAsia="Arial" w:hAnsi="Arial"/>
                <w:sz w:val="14"/>
                <w:szCs w:val="14"/>
                <w:b w:val="1"/>
                <w:bCs w:val="1"/>
                <w:color w:val="auto"/>
                <w:w w:val="92"/>
              </w:rPr>
              <w:t>Loans Due After One Year, by Interest Rate Type</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Predetermined rate</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Floating or Adjustable</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54,617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65,704</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2,058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2,141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Originated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73,346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22,311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95,657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56,704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151,224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Non-mortgage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ind w:left="360"/>
              <w:spacing w:after="0"/>
              <w:rPr>
                <w:sz w:val="20"/>
                <w:szCs w:val="20"/>
                <w:color w:val="auto"/>
              </w:rPr>
            </w:pPr>
            <w:r>
              <w:rPr>
                <w:rFonts w:ascii="Arial" w:cs="Arial" w:eastAsia="Arial" w:hAnsi="Arial"/>
                <w:sz w:val="18"/>
                <w:szCs w:val="18"/>
                <w:color w:val="auto"/>
              </w:rPr>
              <w:t>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393,749</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Of total portfolio loans at June 30, 2013, approximately 46.5% were variable rate products, compared to 56.3% at June 30, 2012. This decrease in the percentage of variable rate products resulted principally from an increase in fixed-rate commercial loans.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purchased loans have been identified as having evidence of credit deterioration since their origination, and it is probable that the Company will not collect all contractually required principal and interest payments. Purchased credit-impaired loans are accounted for using the measurement provisions set forth in ASC 310-30. A nonaccretable difference has been established in accounting for PCI loans to absorb losses of principal and interest. Losses absorbed by the nonaccretable difference do not affect the income statement or the allowance for loan losses.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cash surrender value of the Company’s BOLI assets increased $90 thousand, or 0.6%, to $14.4 million at June 30, 2013, compared to $14.3 million at June 30, 2012. BOLI assets are invested in the general account of three insurance companies and in separate accounts of a fourth insurance company. A general account policy’s cash surrender value is supported by the general assets of the insurance company. A separate account policy’s cash surrender value is supported by assets segregated from the general assets of the insurance company. Standard and Poor’s rated these companies A+ or better at June 30, 2013. Interest earnings, net of mortality costs, increase the cash surrender value. These interest earnings are based on interest rates that reset each year, and are subject to minimum guaranteed rates. These increases in cash surrender value are recognized in other income and are not subject to income taxes. Management considers BOLI an illiquid asset. BOLI represented 11.8% of the Company’s total risk-based capital at June 30, 2013.</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Intangible assets totaled $3.5 million and $4.5 million at June 30, 2013 and June 30, 2012, respectively. The $943 thousand decrease was the result of core deposit intangible amortization during fiscal 2013.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June 30, 2013, core deposits, which the Company defines as non-maturity accounts and certificates of deposit with balances less than $250 thousand, represented 98.3% of total deposits.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Total deposits increased $62.4 million to $484.6 million as of June 30, 2013 from $422.2 million as of June 30, 2012. The overall increase was achieved through the Bank’s online affinity deposit program, which grew CD and money market deposit balances by a total of $69.0 million during fiscal 2013.</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set forth certain information relative to the composition of the Company’s average deposit accounts and the weighted average interest rate on each category of deposits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97"/>
              <w:spacing w:after="0"/>
              <w:rPr>
                <w:sz w:val="20"/>
                <w:szCs w:val="20"/>
                <w:color w:val="auto"/>
              </w:rPr>
            </w:pPr>
            <w:r>
              <w:rPr>
                <w:rFonts w:ascii="Arial" w:cs="Arial" w:eastAsia="Arial" w:hAnsi="Arial"/>
                <w:sz w:val="14"/>
                <w:szCs w:val="14"/>
                <w:b w:val="1"/>
                <w:bCs w:val="1"/>
                <w:color w:val="auto"/>
              </w:rPr>
              <w:t>Successor Company</w:t>
            </w:r>
          </w:p>
        </w:tc>
        <w:tc>
          <w:tcPr>
            <w:tcW w:w="1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Year Ended June 30, 2013</w:t>
            </w:r>
          </w:p>
        </w:tc>
        <w:tc>
          <w:tcPr>
            <w:tcW w:w="1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Year Ended June 30, 2012</w:t>
            </w:r>
          </w:p>
        </w:tc>
        <w:tc>
          <w:tcPr>
            <w:tcW w:w="1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9"/>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Average</w:t>
            </w:r>
          </w:p>
        </w:tc>
        <w:tc>
          <w:tcPr>
            <w:tcW w:w="1680" w:type="dxa"/>
            <w:vAlign w:val="bottom"/>
          </w:tcPr>
          <w:p>
            <w:pPr>
              <w:jc w:val="right"/>
              <w:ind w:right="578"/>
              <w:spacing w:after="0" w:line="119" w:lineRule="exact"/>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Percent of Total</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Average</w:t>
            </w:r>
          </w:p>
        </w:tc>
        <w:tc>
          <w:tcPr>
            <w:tcW w:w="1680" w:type="dxa"/>
            <w:vAlign w:val="bottom"/>
          </w:tcPr>
          <w:p>
            <w:pPr>
              <w:jc w:val="right"/>
              <w:ind w:right="578"/>
              <w:spacing w:after="0" w:line="119" w:lineRule="exact"/>
              <w:rPr>
                <w:sz w:val="20"/>
                <w:szCs w:val="20"/>
                <w:color w:val="auto"/>
              </w:rPr>
            </w:pPr>
            <w:r>
              <w:rPr>
                <w:rFonts w:ascii="Arial" w:cs="Arial" w:eastAsia="Arial" w:hAnsi="Arial"/>
                <w:sz w:val="13"/>
                <w:szCs w:val="13"/>
                <w:b w:val="1"/>
                <w:bCs w:val="1"/>
                <w:color w:val="auto"/>
              </w:rPr>
              <w:t>Weighted</w:t>
            </w:r>
          </w:p>
        </w:tc>
        <w:tc>
          <w:tcPr>
            <w:tcW w:w="126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Percent of Total</w:t>
            </w:r>
          </w:p>
        </w:tc>
        <w:tc>
          <w:tcPr>
            <w:tcW w:w="160" w:type="dxa"/>
            <w:vAlign w:val="bottom"/>
          </w:tcPr>
          <w:p>
            <w:pPr>
              <w:spacing w:after="0"/>
              <w:rPr>
                <w:sz w:val="10"/>
                <w:szCs w:val="10"/>
                <w:color w:val="auto"/>
              </w:rPr>
            </w:pPr>
          </w:p>
        </w:tc>
      </w:tr>
      <w:tr>
        <w:trPr>
          <w:trHeight w:val="17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97"/>
              <w:spacing w:after="0"/>
              <w:rPr>
                <w:sz w:val="20"/>
                <w:szCs w:val="20"/>
                <w:color w:val="auto"/>
              </w:rPr>
            </w:pPr>
            <w:r>
              <w:rPr>
                <w:rFonts w:ascii="Arial" w:cs="Arial" w:eastAsia="Arial" w:hAnsi="Arial"/>
                <w:sz w:val="14"/>
                <w:szCs w:val="14"/>
                <w:b w:val="1"/>
                <w:bCs w:val="1"/>
                <w:color w:val="auto"/>
              </w:rPr>
              <w:t>Balance</w:t>
            </w:r>
          </w:p>
        </w:tc>
        <w:tc>
          <w:tcPr>
            <w:tcW w:w="1680" w:type="dxa"/>
            <w:vAlign w:val="bottom"/>
          </w:tcPr>
          <w:p>
            <w:pPr>
              <w:jc w:val="right"/>
              <w:ind w:right="458"/>
              <w:spacing w:after="0"/>
              <w:rPr>
                <w:sz w:val="20"/>
                <w:szCs w:val="20"/>
                <w:color w:val="auto"/>
              </w:rPr>
            </w:pPr>
            <w:r>
              <w:rPr>
                <w:rFonts w:ascii="Arial" w:cs="Arial" w:eastAsia="Arial" w:hAnsi="Arial"/>
                <w:sz w:val="14"/>
                <w:szCs w:val="14"/>
                <w:b w:val="1"/>
                <w:bCs w:val="1"/>
                <w:color w:val="auto"/>
              </w:rPr>
              <w:t>Average Rate</w:t>
            </w: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Average Deposits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97"/>
              <w:spacing w:after="0"/>
              <w:rPr>
                <w:sz w:val="20"/>
                <w:szCs w:val="20"/>
                <w:color w:val="auto"/>
              </w:rPr>
            </w:pPr>
            <w:r>
              <w:rPr>
                <w:rFonts w:ascii="Arial" w:cs="Arial" w:eastAsia="Arial" w:hAnsi="Arial"/>
                <w:sz w:val="14"/>
                <w:szCs w:val="14"/>
                <w:b w:val="1"/>
                <w:bCs w:val="1"/>
                <w:color w:val="auto"/>
              </w:rPr>
              <w:t>Balance</w:t>
            </w:r>
          </w:p>
        </w:tc>
        <w:tc>
          <w:tcPr>
            <w:tcW w:w="1680" w:type="dxa"/>
            <w:vAlign w:val="bottom"/>
          </w:tcPr>
          <w:p>
            <w:pPr>
              <w:jc w:val="right"/>
              <w:ind w:right="458"/>
              <w:spacing w:after="0"/>
              <w:rPr>
                <w:sz w:val="20"/>
                <w:szCs w:val="20"/>
                <w:color w:val="auto"/>
              </w:rPr>
            </w:pPr>
            <w:r>
              <w:rPr>
                <w:rFonts w:ascii="Arial" w:cs="Arial" w:eastAsia="Arial" w:hAnsi="Arial"/>
                <w:sz w:val="14"/>
                <w:szCs w:val="14"/>
                <w:b w:val="1"/>
                <w:bCs w:val="1"/>
                <w:color w:val="auto"/>
              </w:rPr>
              <w:t>Average Rate</w:t>
            </w: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Average Deposits</w:t>
            </w:r>
          </w:p>
        </w:tc>
      </w:tr>
      <w:tr>
        <w:trPr>
          <w:trHeight w:val="142"/>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jc w:val="right"/>
              <w:ind w:right="53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Non-interest bearing demand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escrow</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49,343</w:t>
            </w:r>
          </w:p>
        </w:tc>
        <w:tc>
          <w:tcPr>
            <w:tcW w:w="16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0.00%</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6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0.00%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Regular savings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31,939</w:t>
            </w:r>
          </w:p>
        </w:tc>
        <w:tc>
          <w:tcPr>
            <w:tcW w:w="1680" w:type="dxa"/>
            <w:vAlign w:val="bottom"/>
          </w:tcPr>
          <w:p>
            <w:pPr>
              <w:jc w:val="right"/>
              <w:ind w:right="158"/>
              <w:spacing w:after="0"/>
              <w:rPr>
                <w:sz w:val="20"/>
                <w:szCs w:val="20"/>
                <w:color w:val="auto"/>
              </w:rPr>
            </w:pPr>
            <w:r>
              <w:rPr>
                <w:rFonts w:ascii="Arial" w:cs="Arial" w:eastAsia="Arial" w:hAnsi="Arial"/>
                <w:sz w:val="18"/>
                <w:szCs w:val="18"/>
                <w:color w:val="auto"/>
              </w:rPr>
              <w:t>0.14%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32,799</w:t>
            </w:r>
          </w:p>
        </w:tc>
        <w:tc>
          <w:tcPr>
            <w:tcW w:w="1680" w:type="dxa"/>
            <w:vAlign w:val="bottom"/>
          </w:tcPr>
          <w:p>
            <w:pPr>
              <w:jc w:val="right"/>
              <w:ind w:right="158"/>
              <w:spacing w:after="0"/>
              <w:rPr>
                <w:sz w:val="20"/>
                <w:szCs w:val="20"/>
                <w:color w:val="auto"/>
              </w:rPr>
            </w:pPr>
            <w:r>
              <w:rPr>
                <w:rFonts w:ascii="Arial" w:cs="Arial" w:eastAsia="Arial" w:hAnsi="Arial"/>
                <w:sz w:val="18"/>
                <w:szCs w:val="18"/>
                <w:color w:val="auto"/>
              </w:rPr>
              <w:t>0.20%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55,763</w:t>
            </w:r>
          </w:p>
        </w:tc>
        <w:tc>
          <w:tcPr>
            <w:tcW w:w="16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0.27%</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55,218</w:t>
            </w:r>
          </w:p>
        </w:tc>
        <w:tc>
          <w:tcPr>
            <w:tcW w:w="16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0.39%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13.72%</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63,931</w:t>
            </w:r>
          </w:p>
        </w:tc>
        <w:tc>
          <w:tcPr>
            <w:tcW w:w="1680" w:type="dxa"/>
            <w:vAlign w:val="bottom"/>
          </w:tcPr>
          <w:p>
            <w:pPr>
              <w:jc w:val="right"/>
              <w:ind w:right="158"/>
              <w:spacing w:after="0"/>
              <w:rPr>
                <w:sz w:val="20"/>
                <w:szCs w:val="20"/>
                <w:color w:val="auto"/>
              </w:rPr>
            </w:pPr>
            <w:r>
              <w:rPr>
                <w:rFonts w:ascii="Arial" w:cs="Arial" w:eastAsia="Arial" w:hAnsi="Arial"/>
                <w:sz w:val="18"/>
                <w:szCs w:val="18"/>
                <w:color w:val="auto"/>
              </w:rPr>
              <w:t>0.53%</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44,692</w:t>
            </w:r>
          </w:p>
        </w:tc>
        <w:tc>
          <w:tcPr>
            <w:tcW w:w="1680" w:type="dxa"/>
            <w:vAlign w:val="bottom"/>
          </w:tcPr>
          <w:p>
            <w:pPr>
              <w:jc w:val="right"/>
              <w:ind w:right="158"/>
              <w:spacing w:after="0"/>
              <w:rPr>
                <w:sz w:val="20"/>
                <w:szCs w:val="20"/>
                <w:color w:val="auto"/>
              </w:rPr>
            </w:pPr>
            <w:r>
              <w:rPr>
                <w:rFonts w:ascii="Arial" w:cs="Arial" w:eastAsia="Arial" w:hAnsi="Arial"/>
                <w:sz w:val="18"/>
                <w:szCs w:val="18"/>
                <w:color w:val="auto"/>
              </w:rPr>
              <w:t>0.39%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11.11%</w:t>
            </w:r>
          </w:p>
        </w:tc>
      </w:tr>
      <w:tr>
        <w:trPr>
          <w:trHeight w:val="192"/>
        </w:trPr>
        <w:tc>
          <w:tcPr>
            <w:tcW w:w="2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40"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280,059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58.22%</w:t>
            </w: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w w:val="98"/>
              </w:rPr>
              <w:t>223,782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Total average deposits</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481,035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0.85%</w:t>
            </w: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402,424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0.85%</w:t>
            </w:r>
          </w:p>
        </w:tc>
        <w:tc>
          <w:tcPr>
            <w:tcW w:w="5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Successor Company</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Predecessor Company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6"/>
          </w:tcPr>
          <w:p>
            <w:pPr>
              <w:jc w:val="center"/>
              <w:ind w:right="890"/>
              <w:spacing w:after="0" w:line="142" w:lineRule="exact"/>
              <w:rPr>
                <w:sz w:val="20"/>
                <w:szCs w:val="20"/>
                <w:color w:val="auto"/>
              </w:rPr>
            </w:pPr>
            <w:r>
              <w:rPr>
                <w:rFonts w:ascii="Arial" w:cs="Arial" w:eastAsia="Arial" w:hAnsi="Arial"/>
                <w:sz w:val="14"/>
                <w:szCs w:val="14"/>
                <w:b w:val="1"/>
                <w:bCs w:val="1"/>
                <w:color w:val="auto"/>
                <w:w w:val="91"/>
              </w:rPr>
              <w:t>184 Days Ended June 30, 2011</w:t>
            </w:r>
          </w:p>
        </w:tc>
        <w:tc>
          <w:tcPr>
            <w:tcW w:w="340" w:type="dxa"/>
            <w:vAlign w:val="bottom"/>
            <w:tcBorders>
              <w:right w:val="single" w:sz="8" w:color="auto"/>
            </w:tcBorders>
            <w:gridSpan w:val="2"/>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gridSpan w:val="7"/>
          </w:tcPr>
          <w:p>
            <w:pPr>
              <w:jc w:val="right"/>
              <w:ind w:right="940"/>
              <w:spacing w:after="0" w:line="142" w:lineRule="exact"/>
              <w:rPr>
                <w:sz w:val="20"/>
                <w:szCs w:val="20"/>
                <w:color w:val="auto"/>
              </w:rPr>
            </w:pPr>
            <w:r>
              <w:rPr>
                <w:rFonts w:ascii="Arial" w:cs="Arial" w:eastAsia="Arial" w:hAnsi="Arial"/>
                <w:sz w:val="14"/>
                <w:szCs w:val="14"/>
                <w:b w:val="1"/>
                <w:bCs w:val="1"/>
                <w:color w:val="auto"/>
              </w:rPr>
              <w:t>181 Days Ended December 28, 2010</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Weighted</w:t>
            </w:r>
          </w:p>
        </w:tc>
        <w:tc>
          <w:tcPr>
            <w:tcW w:w="12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Percent of Total</w:t>
            </w:r>
          </w:p>
        </w:tc>
        <w:tc>
          <w:tcPr>
            <w:tcW w:w="340" w:type="dxa"/>
            <w:vAlign w:val="bottom"/>
            <w:tcBorders>
              <w:right w:val="single" w:sz="8" w:color="auto"/>
            </w:tcBorders>
            <w:gridSpan w:val="2"/>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Weighted</w:t>
            </w:r>
          </w:p>
        </w:tc>
        <w:tc>
          <w:tcPr>
            <w:tcW w:w="12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Percent of Total</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Average Rate</w:t>
            </w:r>
          </w:p>
        </w:tc>
        <w:tc>
          <w:tcPr>
            <w:tcW w:w="1620" w:type="dxa"/>
            <w:vAlign w:val="bottom"/>
            <w:tcBorders>
              <w:right w:val="single" w:sz="8" w:color="auto"/>
            </w:tcBorders>
            <w:gridSpan w:val="4"/>
          </w:tcPr>
          <w:p>
            <w:pPr>
              <w:jc w:val="center"/>
              <w:ind w:right="285"/>
              <w:spacing w:after="0"/>
              <w:rPr>
                <w:sz w:val="20"/>
                <w:szCs w:val="20"/>
                <w:color w:val="auto"/>
              </w:rPr>
            </w:pPr>
            <w:r>
              <w:rPr>
                <w:rFonts w:ascii="Arial" w:cs="Arial" w:eastAsia="Arial" w:hAnsi="Arial"/>
                <w:sz w:val="14"/>
                <w:szCs w:val="14"/>
                <w:b w:val="1"/>
                <w:bCs w:val="1"/>
                <w:color w:val="auto"/>
                <w:w w:val="89"/>
              </w:rPr>
              <w:t>Average Deposits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Average Rate</w:t>
            </w: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Average Deposits</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9"/>
          </w:tcPr>
          <w:p>
            <w:pPr>
              <w:jc w:val="right"/>
              <w:ind w:right="8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Non-interest bearing demand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escrow</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w:t>
            </w:r>
          </w:p>
        </w:tc>
        <w:tc>
          <w:tcPr>
            <w:tcW w:w="5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43,761</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Borders>
              <w:right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37,941</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1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Regular savings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34,799</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8.82%</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38,303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1420" w:type="dxa"/>
            <w:vAlign w:val="bottom"/>
            <w:gridSpan w:val="5"/>
          </w:tcPr>
          <w:p>
            <w:pPr>
              <w:jc w:val="right"/>
              <w:ind w:right="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56,386</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53,780</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c>
          <w:tcPr>
            <w:tcW w:w="1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52,238</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13.24%</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55,955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0.77%</w:t>
            </w:r>
          </w:p>
        </w:tc>
        <w:tc>
          <w:tcPr>
            <w:tcW w:w="1420" w:type="dxa"/>
            <w:vAlign w:val="bottom"/>
            <w:gridSpan w:val="5"/>
          </w:tcPr>
          <w:p>
            <w:pPr>
              <w:jc w:val="right"/>
              <w:ind w:right="2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207,251</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196,318</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1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Total average deposits</w:t>
            </w:r>
          </w:p>
        </w:tc>
        <w:tc>
          <w:tcPr>
            <w:tcW w:w="28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394,435</w:t>
            </w:r>
          </w:p>
        </w:tc>
        <w:tc>
          <w:tcPr>
            <w:tcW w:w="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0.84%</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382,297</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June 30, 2013, the aggregate amount of outstanding certificates of deposit in amounts greater than or equal to $100 thousand was approximately $163.4 million. The scheduled maturity of these deposits is set forth below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3 months or less</w:t>
            </w:r>
          </w:p>
        </w:tc>
        <w:tc>
          <w:tcPr>
            <w:tcW w:w="10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27,694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Over 3 through 6 months</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35,931</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Over 6 through 12 months</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Over 12 months</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85,269</w:t>
            </w:r>
          </w:p>
        </w:tc>
      </w:tr>
      <w:tr>
        <w:trPr>
          <w:trHeight w:val="21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time certificates $100 and over</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Short-term borrowings, FHLB advances, Federal Reserve Discount Window Borrower-in-custody advances, wholesale repurchase agreements and junior subordinated debentures have been the Company’s sources of funding other than deposits. In fiscal 2013, total borrowings decreased by $56.8 million, or 47.0%, to $64.0 million.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Advances from the FHLB were $28.0 million and $43.5 million at June 30, 2013 and June 30, 2012, respectively, a decrease of $15.4 million, or 35.5%. At June 30, 2013, the Company had pledged investment securities having a fair value of $27.3 million for outstanding FHLB borrowings. In addition, pledges of residential real estate loans, certain commercial real estate loans and certain FHLB deposits free of liens or pledges are required to secure outstanding advances and available additional borrowing capacity from the FHLB. Wholesale repurchase agreements were $25.4 million and $66.2 million at June 30, 2013 and 2012, respectively. At June 30, 2013, the Company had pledged investment securities having a fair value of $27.0 million and cash of $3.2 million for outstanding wholesale repurchase agreements.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Short-term borrowings, consisting of sweep accounts and repurchase agreements, were $625 thousand and $1.2 million at June 30, 2013 and 2012, respectively. At June 30, 2013, sweep accounts were secured by $2.0 million of letters of credit issued by the FHLB and investment securities with a fair value of $3.0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certain information about the Company’s short-term borrowings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jc w:val="right"/>
              <w:ind w:right="1217"/>
              <w:spacing w:after="0"/>
              <w:rPr>
                <w:sz w:val="20"/>
                <w:szCs w:val="20"/>
                <w:color w:val="auto"/>
              </w:rPr>
            </w:pPr>
            <w:r>
              <w:rPr>
                <w:rFonts w:ascii="Arial" w:cs="Arial" w:eastAsia="Arial" w:hAnsi="Arial"/>
                <w:sz w:val="14"/>
                <w:szCs w:val="14"/>
                <w:b w:val="1"/>
                <w:bCs w:val="1"/>
                <w:color w:val="auto"/>
              </w:rPr>
              <w:t>Successor Company</w:t>
            </w:r>
          </w:p>
        </w:tc>
        <w:tc>
          <w:tcPr>
            <w:tcW w:w="1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00" w:type="dxa"/>
            <w:vAlign w:val="bottom"/>
            <w:gridSpan w:val="5"/>
          </w:tcPr>
          <w:p>
            <w:pPr>
              <w:ind w:left="740"/>
              <w:spacing w:after="0" w:line="142" w:lineRule="exact"/>
              <w:rPr>
                <w:sz w:val="20"/>
                <w:szCs w:val="20"/>
                <w:color w:val="auto"/>
              </w:rPr>
            </w:pPr>
            <w:r>
              <w:rPr>
                <w:rFonts w:ascii="Arial" w:cs="Arial" w:eastAsia="Arial" w:hAnsi="Arial"/>
                <w:sz w:val="14"/>
                <w:szCs w:val="14"/>
                <w:b w:val="1"/>
                <w:bCs w:val="1"/>
                <w:color w:val="auto"/>
              </w:rPr>
              <w:t>Year Ended June 30, 2013</w:t>
            </w:r>
          </w:p>
        </w:tc>
        <w:tc>
          <w:tcPr>
            <w:tcW w:w="30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Year Ended June 30, 2012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vMerge w:val="restart"/>
          </w:tcPr>
          <w:p>
            <w:pPr>
              <w:jc w:val="right"/>
              <w:ind w:right="797"/>
              <w:spacing w:after="0"/>
              <w:rPr>
                <w:sz w:val="20"/>
                <w:szCs w:val="20"/>
                <w:color w:val="auto"/>
              </w:rPr>
            </w:pPr>
            <w:r>
              <w:rPr>
                <w:rFonts w:ascii="Arial" w:cs="Arial" w:eastAsia="Arial" w:hAnsi="Arial"/>
                <w:sz w:val="14"/>
                <w:szCs w:val="14"/>
                <w:b w:val="1"/>
                <w:bCs w:val="1"/>
                <w:color w:val="auto"/>
              </w:rPr>
              <w:t>Amount</w:t>
            </w:r>
          </w:p>
        </w:tc>
        <w:tc>
          <w:tcPr>
            <w:tcW w:w="1440" w:type="dxa"/>
            <w:vAlign w:val="bottom"/>
            <w:tcBorders>
              <w:top w:val="single" w:sz="8" w:color="auto"/>
            </w:tcBorders>
          </w:tcPr>
          <w:p>
            <w:pPr>
              <w:jc w:val="right"/>
              <w:ind w:right="360"/>
              <w:spacing w:after="0" w:line="119"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Average Rate</w:t>
            </w:r>
          </w:p>
        </w:tc>
        <w:tc>
          <w:tcPr>
            <w:tcW w:w="1580" w:type="dxa"/>
            <w:vAlign w:val="bottom"/>
            <w:vMerge w:val="continue"/>
          </w:tcPr>
          <w:p>
            <w:pPr>
              <w:spacing w:after="0"/>
              <w:rPr>
                <w:sz w:val="14"/>
                <w:szCs w:val="1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4"/>
          </w:tcPr>
          <w:p>
            <w:pPr>
              <w:jc w:val="right"/>
              <w:ind w:right="115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at period end</w:t>
            </w:r>
          </w:p>
        </w:tc>
        <w:tc>
          <w:tcPr>
            <w:tcW w:w="140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625</w:t>
            </w:r>
          </w:p>
        </w:tc>
        <w:tc>
          <w:tcPr>
            <w:tcW w:w="196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0.00%  $</w:t>
            </w:r>
          </w:p>
        </w:tc>
        <w:tc>
          <w:tcPr>
            <w:tcW w:w="15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1,209</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Average outstanding during period</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w w:val="93"/>
              </w:rPr>
              <w:t>1,472</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8"/>
                <w:szCs w:val="18"/>
                <w:color w:val="auto"/>
              </w:rPr>
            </w:pPr>
          </w:p>
        </w:tc>
        <w:tc>
          <w:tcPr>
            <w:tcW w:w="1580" w:type="dxa"/>
            <w:vAlign w:val="bottom"/>
          </w:tcPr>
          <w:p>
            <w:pPr>
              <w:jc w:val="right"/>
              <w:ind w:right="217"/>
              <w:spacing w:after="0"/>
              <w:rPr>
                <w:sz w:val="20"/>
                <w:szCs w:val="20"/>
                <w:color w:val="auto"/>
              </w:rPr>
            </w:pPr>
            <w:r>
              <w:rPr>
                <w:rFonts w:ascii="Arial" w:cs="Arial" w:eastAsia="Arial" w:hAnsi="Arial"/>
                <w:sz w:val="18"/>
                <w:szCs w:val="18"/>
                <w:color w:val="auto"/>
              </w:rPr>
              <w:t>1,075</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period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2,707</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1,836</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3"/>
            <w:vMerge w:val="restart"/>
          </w:tcPr>
          <w:p>
            <w:pPr>
              <w:jc w:val="right"/>
              <w:ind w:right="1220"/>
              <w:spacing w:after="0"/>
              <w:rPr>
                <w:sz w:val="20"/>
                <w:szCs w:val="20"/>
                <w:color w:val="auto"/>
              </w:rPr>
            </w:pPr>
            <w:r>
              <w:rPr>
                <w:rFonts w:ascii="Arial" w:cs="Arial" w:eastAsia="Arial" w:hAnsi="Arial"/>
                <w:sz w:val="14"/>
                <w:szCs w:val="14"/>
                <w:b w:val="1"/>
                <w:bCs w:val="1"/>
                <w:color w:val="auto"/>
              </w:rPr>
              <w:t>Successor Company</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line="20" w:lineRule="exact"/>
              <w:rPr>
                <w:sz w:val="1"/>
                <w:szCs w:val="1"/>
                <w:color w:val="auto"/>
              </w:rPr>
            </w:pPr>
          </w:p>
        </w:tc>
      </w:tr>
      <w:tr>
        <w:trPr>
          <w:trHeight w:val="149"/>
        </w:trPr>
        <w:tc>
          <w:tcPr>
            <w:tcW w:w="3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gridSpan w:val="3"/>
            <w:vMerge w:val="continue"/>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740" w:type="dxa"/>
            <w:vAlign w:val="bottom"/>
            <w:tcBorders>
              <w:top w:val="single" w:sz="8" w:color="auto"/>
              <w:bottom w:val="single" w:sz="8" w:color="auto"/>
            </w:tcBorders>
            <w:gridSpan w:val="2"/>
          </w:tcPr>
          <w:p>
            <w:pPr>
              <w:jc w:val="right"/>
              <w:ind w:right="502"/>
              <w:spacing w:after="0" w:line="142" w:lineRule="exact"/>
              <w:rPr>
                <w:sz w:val="20"/>
                <w:szCs w:val="20"/>
                <w:color w:val="auto"/>
              </w:rPr>
            </w:pPr>
            <w:r>
              <w:rPr>
                <w:rFonts w:ascii="Arial" w:cs="Arial" w:eastAsia="Arial" w:hAnsi="Arial"/>
                <w:sz w:val="14"/>
                <w:szCs w:val="14"/>
                <w:b w:val="1"/>
                <w:bCs w:val="1"/>
                <w:color w:val="auto"/>
              </w:rPr>
              <w:t>184 Days Ended June 30, 2011</w:t>
            </w:r>
          </w:p>
        </w:tc>
        <w:tc>
          <w:tcPr>
            <w:tcW w:w="34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6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2"/>
              </w:rPr>
              <w:t>181 Days Ended December 28, 2010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right"/>
              <w:ind w:right="302"/>
              <w:spacing w:after="0" w:line="119" w:lineRule="exact"/>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w w:val="98"/>
              </w:rPr>
              <w:t>Amount</w:t>
            </w:r>
          </w:p>
        </w:tc>
        <w:tc>
          <w:tcPr>
            <w:tcW w:w="1360" w:type="dxa"/>
            <w:vAlign w:val="bottom"/>
          </w:tcPr>
          <w:p>
            <w:pPr>
              <w:jc w:val="right"/>
              <w:ind w:right="300"/>
              <w:spacing w:after="0" w:line="119"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Average Rate</w:t>
            </w:r>
          </w:p>
        </w:tc>
        <w:tc>
          <w:tcPr>
            <w:tcW w:w="32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period end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2,515</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560" w:type="dxa"/>
            <w:vAlign w:val="bottom"/>
            <w:tcBorders>
              <w:lef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62,737</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Average outstanding during period</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199"/>
              <w:spacing w:after="0"/>
              <w:rPr>
                <w:sz w:val="20"/>
                <w:szCs w:val="20"/>
                <w:color w:val="auto"/>
              </w:rPr>
            </w:pPr>
            <w:r>
              <w:rPr>
                <w:rFonts w:ascii="Arial" w:cs="Arial" w:eastAsia="Arial" w:hAnsi="Arial"/>
                <w:sz w:val="18"/>
                <w:szCs w:val="18"/>
                <w:color w:val="auto"/>
              </w:rPr>
              <w:t>19,764</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0.76%</w:t>
            </w:r>
          </w:p>
        </w:tc>
        <w:tc>
          <w:tcPr>
            <w:tcW w:w="32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8"/>
                <w:szCs w:val="18"/>
                <w:color w:val="auto"/>
              </w:rPr>
              <w:t>53,873</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period</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62,034</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62,737</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There were no balances outstanding at June 30, 2013 and 2012, respectively, for advances under the Federal Reserve Discount Window Borrower-in-custody program. The available credit under the program was $80 thousand and $369 thousand at June 30, 2013 and June 30, 2012,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junior subordinated debentures issued to affiliated trusts totaling $8.3 million and $8.1 million at June 30, 2013 and 2012,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“Capital” below for more information on our junior subordinated debentures and affiliated trusts.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Loan Losses</w:t>
      </w:r>
    </w:p>
    <w:p>
      <w:pPr>
        <w:sectPr>
          <w:pgSz w:w="11900" w:h="16838" w:orient="portrait"/>
          <w:cols w:equalWidth="0" w:num="1">
            <w:col w:w="11420"/>
          </w:cols>
          <w:pgMar w:left="240" w:top="140" w:right="239" w:bottom="127" w:gutter="0" w:footer="0" w:header="0"/>
        </w:sectPr>
      </w:pPr>
    </w:p>
    <w:bookmarkStart w:id="31" w:name="page32"/>
    <w:bookmarkEnd w:id="31"/>
    <w:p>
      <w:pPr>
        <w:spacing w:after="0" w:line="1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allowance for loan losses is maintained at a level that management considers adequate to provide for probable loan losses based upon evaluation of known and inherent risks in the loan portfolio. The allowance is increased by providing for loan losses through a charge to expense and by recoveries of loans previously charged-off and is reduced by loans being charged-off.</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allowance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legacy loans based on estimates of deteriorated credit quality post-Merger.</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June 30, 2013, the allowance for loan losses totaled $1.1 million, or 0.26% of total loans, as compared to $824 thousand, or 0.23% of total loans, at June 30, 2012. The year over year increase in the Company’s allowance for losses was principally the result of loan originations and an increase in troubled debt restructurings. The following table sets forth activity in Company’s allowance for loan losses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3"/>
              </w:rPr>
              <w:t>Successor Company</w:t>
            </w: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Predecessor Company</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308"/>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11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Year Ended</w:t>
            </w:r>
          </w:p>
        </w:tc>
        <w:tc>
          <w:tcPr>
            <w:tcW w:w="10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96"/>
              </w:rPr>
              <w:t>184 Days Ended</w:t>
            </w:r>
          </w:p>
        </w:tc>
        <w:tc>
          <w:tcPr>
            <w:tcW w:w="2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181 Days Ended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92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0"/>
              </w:rPr>
              <w:t>June 30, 2013</w:t>
            </w:r>
          </w:p>
        </w:tc>
        <w:tc>
          <w:tcPr>
            <w:tcW w:w="1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June 30, 2012</w:t>
            </w:r>
          </w:p>
        </w:tc>
        <w:tc>
          <w:tcPr>
            <w:tcW w:w="40" w:type="dxa"/>
            <w:vAlign w:val="bottom"/>
          </w:tcPr>
          <w:p>
            <w:pPr>
              <w:spacing w:after="0"/>
              <w:rPr>
                <w:sz w:val="14"/>
                <w:szCs w:val="14"/>
                <w:color w:val="auto"/>
              </w:rPr>
            </w:pPr>
          </w:p>
        </w:tc>
        <w:tc>
          <w:tcPr>
            <w:tcW w:w="118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6"/>
              </w:rPr>
              <w:t>June 30, 2011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0"/>
              </w:rPr>
              <w:t>Dec. 28, 2010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2010</w:t>
            </w: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June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6"/>
          </w:tcPr>
          <w:p>
            <w:pPr>
              <w:jc w:val="right"/>
              <w:ind w:right="588"/>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Allowance at beginning of period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5,806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Loans charged-off during the period: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8"/>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business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Consumer and 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8"/>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372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loans charged-off</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w w:val="97"/>
              </w:rPr>
              <w:t>Recoveries on loans previously charged-off:</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business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Consumer and 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recoveries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loans charged off during the period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50"/>
        </w:trPr>
        <w:tc>
          <w:tcPr>
            <w:tcW w:w="3600" w:type="dxa"/>
            <w:vAlign w:val="bottom"/>
            <w:gridSpan w:val="2"/>
          </w:tcPr>
          <w:p>
            <w:pPr>
              <w:spacing w:after="0"/>
              <w:rPr>
                <w:sz w:val="20"/>
                <w:szCs w:val="20"/>
                <w:color w:val="auto"/>
              </w:rPr>
            </w:pPr>
            <w:r>
              <w:rPr>
                <w:rFonts w:ascii="Arial" w:cs="Arial" w:eastAsia="Arial" w:hAnsi="Arial"/>
                <w:sz w:val="18"/>
                <w:szCs w:val="18"/>
                <w:color w:val="auto"/>
              </w:rPr>
              <w:t>Allowance at end of period</w:t>
            </w:r>
          </w:p>
        </w:tc>
        <w:tc>
          <w:tcPr>
            <w:tcW w:w="14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loans at end of period (1)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8"/>
              <w:spacing w:after="0"/>
              <w:rPr>
                <w:sz w:val="20"/>
                <w:szCs w:val="20"/>
                <w:color w:val="auto"/>
              </w:rPr>
            </w:pPr>
            <w:r>
              <w:rPr>
                <w:rFonts w:ascii="Arial" w:cs="Arial" w:eastAsia="Arial" w:hAnsi="Arial"/>
                <w:sz w:val="18"/>
                <w:szCs w:val="18"/>
                <w:color w:val="auto"/>
              </w:rPr>
              <w:t>435,376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356,254</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309,913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367,284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382,309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3"/>
              </w:rPr>
              <w:t>Average loans outstanding during the period (1)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376,660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333,053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332,684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375,878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Allowance as a percentage of total 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net charge-offs to average loans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8"/>
              </w:rPr>
              <w:t>Allowance as a percentage of non-performing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13.48%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67.49%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Amounts and resulting ratios exclude 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allocates the allowance for loan losses by loan category and the percent of loans in each category to total loans at the dates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4"/>
            <w:vMerge w:val="restart"/>
          </w:tcPr>
          <w:p>
            <w:pPr>
              <w:jc w:val="right"/>
              <w:ind w:right="330"/>
              <w:spacing w:after="0"/>
              <w:rPr>
                <w:sz w:val="20"/>
                <w:szCs w:val="20"/>
                <w:color w:val="auto"/>
              </w:rPr>
            </w:pPr>
            <w:r>
              <w:rPr>
                <w:rFonts w:ascii="Arial" w:cs="Arial" w:eastAsia="Arial" w:hAnsi="Arial"/>
                <w:sz w:val="14"/>
                <w:szCs w:val="14"/>
                <w:b w:val="1"/>
                <w:bCs w:val="1"/>
                <w:color w:val="auto"/>
                <w:w w:val="93"/>
              </w:rPr>
              <w:t>Successor Company</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w w:val="98"/>
              </w:rPr>
              <w:t>Predecessor Company</w:t>
            </w: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vMerge w:val="continue"/>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right"/>
              <w:ind w:right="550"/>
              <w:spacing w:after="0" w:line="142" w:lineRule="exact"/>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12"/>
                <w:szCs w:val="12"/>
                <w:color w:val="auto"/>
              </w:rPr>
            </w:pPr>
          </w:p>
        </w:tc>
        <w:tc>
          <w:tcPr>
            <w:tcW w:w="1740" w:type="dxa"/>
            <w:vAlign w:val="bottom"/>
            <w:gridSpan w:val="4"/>
          </w:tcPr>
          <w:p>
            <w:pPr>
              <w:jc w:val="right"/>
              <w:ind w:right="530"/>
              <w:spacing w:after="0" w:line="142" w:lineRule="exact"/>
              <w:rPr>
                <w:sz w:val="20"/>
                <w:szCs w:val="20"/>
                <w:color w:val="auto"/>
              </w:rPr>
            </w:pPr>
            <w:r>
              <w:rPr>
                <w:rFonts w:ascii="Arial" w:cs="Arial" w:eastAsia="Arial" w:hAnsi="Arial"/>
                <w:sz w:val="14"/>
                <w:szCs w:val="14"/>
                <w:b w:val="1"/>
                <w:bCs w:val="1"/>
                <w:color w:val="auto"/>
              </w:rPr>
              <w:t>June 30, 2012</w:t>
            </w:r>
          </w:p>
        </w:tc>
        <w:tc>
          <w:tcPr>
            <w:tcW w:w="120" w:type="dxa"/>
            <w:vAlign w:val="bottom"/>
          </w:tcPr>
          <w:p>
            <w:pPr>
              <w:spacing w:after="0"/>
              <w:rPr>
                <w:sz w:val="12"/>
                <w:szCs w:val="12"/>
                <w:color w:val="auto"/>
              </w:rPr>
            </w:pPr>
          </w:p>
        </w:tc>
        <w:tc>
          <w:tcPr>
            <w:tcW w:w="1660" w:type="dxa"/>
            <w:vAlign w:val="bottom"/>
            <w:gridSpan w:val="3"/>
          </w:tcPr>
          <w:p>
            <w:pPr>
              <w:jc w:val="right"/>
              <w:ind w:right="395"/>
              <w:spacing w:after="0" w:line="142" w:lineRule="exact"/>
              <w:rPr>
                <w:sz w:val="20"/>
                <w:szCs w:val="20"/>
                <w:color w:val="auto"/>
              </w:rPr>
            </w:pPr>
            <w:r>
              <w:rPr>
                <w:rFonts w:ascii="Arial" w:cs="Arial" w:eastAsia="Arial" w:hAnsi="Arial"/>
                <w:sz w:val="14"/>
                <w:szCs w:val="14"/>
                <w:b w:val="1"/>
                <w:bCs w:val="1"/>
                <w:color w:val="auto"/>
              </w:rPr>
              <w:t>June 30, 2011</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jc w:val="right"/>
              <w:ind w:right="550"/>
              <w:spacing w:after="0" w:line="142" w:lineRule="exact"/>
              <w:rPr>
                <w:sz w:val="20"/>
                <w:szCs w:val="20"/>
                <w:color w:val="auto"/>
              </w:rPr>
            </w:pPr>
            <w:r>
              <w:rPr>
                <w:rFonts w:ascii="Arial" w:cs="Arial" w:eastAsia="Arial" w:hAnsi="Arial"/>
                <w:sz w:val="14"/>
                <w:szCs w:val="14"/>
                <w:b w:val="1"/>
                <w:bCs w:val="1"/>
                <w:color w:val="auto"/>
              </w:rPr>
              <w:t>June 30, 2010</w:t>
            </w:r>
          </w:p>
        </w:tc>
        <w:tc>
          <w:tcPr>
            <w:tcW w:w="180" w:type="dxa"/>
            <w:vAlign w:val="bottom"/>
          </w:tcPr>
          <w:p>
            <w:pPr>
              <w:spacing w:after="0"/>
              <w:rPr>
                <w:sz w:val="12"/>
                <w:szCs w:val="12"/>
                <w:color w:val="auto"/>
              </w:rPr>
            </w:pPr>
          </w:p>
        </w:tc>
        <w:tc>
          <w:tcPr>
            <w:tcW w:w="1620" w:type="dxa"/>
            <w:vAlign w:val="bottom"/>
            <w:gridSpan w:val="3"/>
          </w:tcPr>
          <w:p>
            <w:pPr>
              <w:jc w:val="right"/>
              <w:ind w:right="395"/>
              <w:spacing w:after="0" w:line="142" w:lineRule="exact"/>
              <w:rPr>
                <w:sz w:val="20"/>
                <w:szCs w:val="20"/>
                <w:color w:val="auto"/>
              </w:rPr>
            </w:pPr>
            <w:r>
              <w:rPr>
                <w:rFonts w:ascii="Arial" w:cs="Arial" w:eastAsia="Arial" w:hAnsi="Arial"/>
                <w:sz w:val="14"/>
                <w:szCs w:val="14"/>
                <w:b w:val="1"/>
                <w:bCs w:val="1"/>
                <w:color w:val="auto"/>
              </w:rPr>
              <w:t>June 30, 2009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Percent of Loans</w:t>
            </w:r>
          </w:p>
        </w:tc>
        <w:tc>
          <w:tcPr>
            <w:tcW w:w="160" w:type="dxa"/>
            <w:vAlign w:val="bottom"/>
          </w:tcPr>
          <w:p>
            <w:pPr>
              <w:spacing w:after="0"/>
              <w:rPr>
                <w:sz w:val="10"/>
                <w:szCs w:val="10"/>
                <w:color w:val="auto"/>
              </w:rPr>
            </w:pPr>
          </w:p>
        </w:tc>
        <w:tc>
          <w:tcPr>
            <w:tcW w:w="72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Percent of Loans</w:t>
            </w:r>
          </w:p>
        </w:tc>
        <w:tc>
          <w:tcPr>
            <w:tcW w:w="160" w:type="dxa"/>
            <w:vAlign w:val="bottom"/>
          </w:tcPr>
          <w:p>
            <w:pPr>
              <w:spacing w:after="0"/>
              <w:rPr>
                <w:sz w:val="10"/>
                <w:szCs w:val="10"/>
                <w:color w:val="auto"/>
              </w:rPr>
            </w:pPr>
          </w:p>
        </w:tc>
        <w:tc>
          <w:tcPr>
            <w:tcW w:w="74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Percent of Loans</w:t>
            </w: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Percent of Loans</w:t>
            </w:r>
          </w:p>
        </w:tc>
        <w:tc>
          <w:tcPr>
            <w:tcW w:w="160" w:type="dxa"/>
            <w:vAlign w:val="bottom"/>
          </w:tcPr>
          <w:p>
            <w:pPr>
              <w:spacing w:after="0"/>
              <w:rPr>
                <w:sz w:val="10"/>
                <w:szCs w:val="10"/>
                <w:color w:val="auto"/>
              </w:rPr>
            </w:pPr>
          </w:p>
        </w:tc>
        <w:tc>
          <w:tcPr>
            <w:tcW w:w="76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Percent of Loans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8"/>
              </w:rPr>
              <w:t>to Total Loans</w:t>
            </w:r>
          </w:p>
        </w:tc>
        <w:tc>
          <w:tcPr>
            <w:tcW w:w="720" w:type="dxa"/>
            <w:vAlign w:val="bottom"/>
            <w:gridSpan w:val="3"/>
            <w:vMerge w:val="continue"/>
          </w:tcPr>
          <w:p>
            <w:pPr>
              <w:spacing w:after="0"/>
              <w:rPr>
                <w:sz w:val="14"/>
                <w:szCs w:val="14"/>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8"/>
              </w:rPr>
              <w:t>to Total Loans</w:t>
            </w:r>
          </w:p>
        </w:tc>
        <w:tc>
          <w:tcPr>
            <w:tcW w:w="740" w:type="dxa"/>
            <w:vAlign w:val="bottom"/>
            <w:gridSpan w:val="3"/>
            <w:vMerge w:val="continue"/>
          </w:tcPr>
          <w:p>
            <w:pPr>
              <w:spacing w:after="0"/>
              <w:rPr>
                <w:sz w:val="14"/>
                <w:szCs w:val="14"/>
                <w:color w:val="auto"/>
              </w:rPr>
            </w:pPr>
          </w:p>
        </w:tc>
        <w:tc>
          <w:tcPr>
            <w:tcW w:w="122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98"/>
              </w:rPr>
              <w:t>to Total Loans</w:t>
            </w: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8"/>
              </w:rPr>
              <w:t>to Total Loans</w:t>
            </w:r>
          </w:p>
        </w:tc>
        <w:tc>
          <w:tcPr>
            <w:tcW w:w="760" w:type="dxa"/>
            <w:vAlign w:val="bottom"/>
            <w:gridSpan w:val="3"/>
            <w:vMerge w:val="continue"/>
          </w:tcPr>
          <w:p>
            <w:pPr>
              <w:spacing w:after="0"/>
              <w:rPr>
                <w:sz w:val="14"/>
                <w:szCs w:val="14"/>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8"/>
              </w:rPr>
              <w:t>to Total Loans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ind w:lef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 real</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estate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12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line="201" w:lineRule="exact"/>
              <w:rPr>
                <w:sz w:val="20"/>
                <w:szCs w:val="20"/>
                <w:color w:val="auto"/>
              </w:rPr>
            </w:pPr>
            <w:r>
              <w:rPr>
                <w:rFonts w:ascii="Arial" w:cs="Arial" w:eastAsia="Arial" w:hAnsi="Arial"/>
                <w:sz w:val="18"/>
                <w:szCs w:val="18"/>
                <w:color w:val="auto"/>
              </w:rPr>
              <w:t>Commercial real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estate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60.75%</w:t>
            </w:r>
          </w:p>
        </w:tc>
        <w:tc>
          <w:tcPr>
            <w:tcW w:w="1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1,462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33.15%</w:t>
            </w:r>
          </w:p>
        </w:tc>
        <w:tc>
          <w:tcPr>
            <w:tcW w:w="1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12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w w:val="92"/>
              </w:rPr>
              <w:t>Consumer and 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1,462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18.25%</w:t>
            </w: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34"/>
              <w:spacing w:after="0"/>
              <w:rPr>
                <w:sz w:val="20"/>
                <w:szCs w:val="20"/>
                <w:color w:val="auto"/>
              </w:rPr>
            </w:pPr>
            <w:r>
              <w:rPr>
                <w:rFonts w:ascii="Arial" w:cs="Arial" w:eastAsia="Arial" w:hAnsi="Arial"/>
                <w:sz w:val="18"/>
                <w:szCs w:val="18"/>
                <w:color w:val="auto"/>
                <w:w w:val="99"/>
              </w:rPr>
              <w:t>42</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annual trend of total loans 30 days or more past due, as a percentage of total loans at June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Successor Company</w:t>
            </w: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line="20" w:lineRule="exact"/>
              <w:rPr>
                <w:sz w:val="1"/>
                <w:szCs w:val="1"/>
                <w:color w:val="auto"/>
              </w:rPr>
            </w:pPr>
          </w:p>
        </w:tc>
      </w:tr>
      <w:tr>
        <w:trPr>
          <w:trHeight w:val="149"/>
        </w:trPr>
        <w:tc>
          <w:tcPr>
            <w:tcW w:w="3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right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Past due loans to total loans</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1.68%</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5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bl>
    <w:p>
      <w:pPr>
        <w:sectPr>
          <w:pgSz w:w="11900" w:h="16857" w:orient="portrait"/>
          <w:cols w:equalWidth="0" w:num="1">
            <w:col w:w="11460"/>
          </w:cols>
          <w:pgMar w:left="240" w:top="125" w:right="199" w:bottom="0" w:gutter="0" w:footer="0" w:header="0"/>
        </w:sectPr>
      </w:pPr>
    </w:p>
    <w:bookmarkStart w:id="32" w:name="page33"/>
    <w:bookmarkEnd w:id="32"/>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amounts and categories of the Company’s non-performing assets at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0"/>
              </w:rPr>
              <w:t>Successor Company</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June 30, 2013</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June 30, 2012</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2"/>
              </w:rPr>
              <w:t>June 30, 2011</w:t>
            </w:r>
          </w:p>
        </w:tc>
        <w:tc>
          <w:tcPr>
            <w:tcW w:w="36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June 30, 2010</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Originated portfolio: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3,601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Home equity</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Purchased portfolio: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right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7"/>
              </w:rPr>
              <w:t>Real estate owned and other repossessed collateral</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3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to total loans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At June 30, 2013, the Company had $4.9 million of nonperforming loans, or 1.1% of total loans, compared to $6.1 million, or 1.7% of total loans, as of June 30, 2012. While total nonperforming loans decreased, overall nonperforming assets remained flat with fiscal 2012 due to an increase in real estate owned.</w:t>
      </w:r>
    </w:p>
    <w:p>
      <w:pPr>
        <w:spacing w:after="0" w:line="18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TDRs represent performing loans for which concessions (such as extension of repayment terms or reductions of interest rates to below market rates) are granted due to a borrower’s financial condition. Such concessions may include reductions of interest rates to below-market terms and/or extension of repayment terms. TDRs increased $2.4 million during fiscal 2013, of which, $1.1 million related to loans discharged in bankruptcy in prior years. Under recent regulatory guidance, these loans are required to be classified as TDRs and are considered collateral dependent impaired loans. The balances and payment status of TDRs follow: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238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Borders>
              <w:top w:val="single" w:sz="8" w:color="auto"/>
            </w:tcBorders>
            <w:gridSpan w:val="4"/>
          </w:tcPr>
          <w:p>
            <w:pPr>
              <w:jc w:val="right"/>
              <w:ind w:right="339"/>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23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1,110</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Accrual</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2,632</w:t>
            </w:r>
          </w:p>
        </w:tc>
        <w:tc>
          <w:tcPr>
            <w:tcW w:w="9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1,165</w:t>
            </w:r>
          </w:p>
        </w:tc>
      </w:tr>
      <w:tr>
        <w:trPr>
          <w:trHeight w:val="210"/>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TDRs</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June 30, 2013, the Company had real estate owned and other repossessed collateral amounting to $2.1 million, compared to $834 thousand at June 30, 2012, an increase of $1.3 million. The real estate and personal property collateral for commercial and consumer loans are written down to fair value upon transfer to acquired assets. Revenues and expenses are recognized in the period when received or incurred on other real estate and in substance foreclosures. Gains and losses on disposition are recognized in noninterest income.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focus on asset quality issues and allocate significant resources to credit policy, loan review, asset management, collection, and workout functions. Despite this ongoing effort, there can be no assurance that adverse changes in the real estate markets and economic conditions will not result in higher non-performing assets levels in the future and negatively impact our results of operations through higher provision for loan losses, net loan charge-offs, decreased accrual of income and increased noninterest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Commercial real estate and commercial loans are periodically evaluated under a ten-point rating system. These ratings are guidelines in assessing the risk of a particular loan. The Company had $2.9 million and $2.5 million of commercial loans rated substandard or worse at June 30, 2013 and June 30, 2012,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2013</w:t>
            </w:r>
          </w:p>
        </w:tc>
        <w:tc>
          <w:tcPr>
            <w:tcW w:w="1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95"/>
              </w:rPr>
              <w:t>Originated Portfolio</w:t>
            </w:r>
          </w:p>
        </w:tc>
        <w:tc>
          <w:tcPr>
            <w:tcW w:w="4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jc w:val="right"/>
              <w:ind w:right="497"/>
              <w:spacing w:after="0" w:line="119" w:lineRule="exact"/>
              <w:rPr>
                <w:sz w:val="20"/>
                <w:szCs w:val="20"/>
                <w:color w:val="auto"/>
              </w:rPr>
            </w:pPr>
            <w:r>
              <w:rPr>
                <w:rFonts w:ascii="Arial" w:cs="Arial" w:eastAsia="Arial" w:hAnsi="Arial"/>
                <w:sz w:val="13"/>
                <w:szCs w:val="13"/>
                <w:b w:val="1"/>
                <w:bCs w:val="1"/>
                <w:color w:val="auto"/>
              </w:rPr>
              <w:t>Commercial</w:t>
            </w:r>
          </w:p>
        </w:tc>
        <w:tc>
          <w:tcPr>
            <w:tcW w:w="260" w:type="dxa"/>
            <w:vAlign w:val="bottom"/>
          </w:tcPr>
          <w:p>
            <w:pPr>
              <w:spacing w:after="0"/>
              <w:rPr>
                <w:sz w:val="10"/>
                <w:szCs w:val="10"/>
                <w:color w:val="auto"/>
              </w:rPr>
            </w:pPr>
          </w:p>
        </w:tc>
        <w:tc>
          <w:tcPr>
            <w:tcW w:w="16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Construction</w:t>
            </w:r>
          </w:p>
        </w:tc>
        <w:tc>
          <w:tcPr>
            <w:tcW w:w="440" w:type="dxa"/>
            <w:vAlign w:val="bottom"/>
          </w:tcPr>
          <w:p>
            <w:pPr>
              <w:spacing w:after="0"/>
              <w:rPr>
                <w:sz w:val="10"/>
                <w:szCs w:val="10"/>
                <w:color w:val="auto"/>
              </w:rPr>
            </w:pPr>
          </w:p>
        </w:tc>
        <w:tc>
          <w:tcPr>
            <w:tcW w:w="128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Purchased Portfolio</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517"/>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and Industrial</w:t>
            </w:r>
          </w:p>
        </w:tc>
        <w:tc>
          <w:tcPr>
            <w:tcW w:w="2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4"/>
          </w:tcPr>
          <w:p>
            <w:pPr>
              <w:jc w:val="right"/>
              <w:ind w:right="1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95,834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Loans rated 7</w:t>
            </w:r>
          </w:p>
        </w:tc>
        <w:tc>
          <w:tcPr>
            <w:tcW w:w="260" w:type="dxa"/>
            <w:vAlign w:val="bottom"/>
          </w:tcPr>
          <w:p>
            <w:pPr>
              <w:spacing w:after="0"/>
              <w:rPr>
                <w:sz w:val="18"/>
                <w:szCs w:val="18"/>
                <w:color w:val="auto"/>
              </w:rPr>
            </w:pPr>
          </w:p>
        </w:tc>
        <w:tc>
          <w:tcPr>
            <w:tcW w:w="1500" w:type="dxa"/>
            <w:vAlign w:val="bottom"/>
          </w:tcPr>
          <w:p>
            <w:pPr>
              <w:jc w:val="right"/>
              <w:ind w:right="77"/>
              <w:spacing w:after="0"/>
              <w:rPr>
                <w:sz w:val="20"/>
                <w:szCs w:val="20"/>
                <w:color w:val="auto"/>
              </w:rPr>
            </w:pPr>
            <w:r>
              <w:rPr>
                <w:rFonts w:ascii="Arial" w:cs="Arial" w:eastAsia="Arial" w:hAnsi="Arial"/>
                <w:sz w:val="18"/>
                <w:szCs w:val="18"/>
                <w:color w:val="auto"/>
              </w:rPr>
              <w:t>3,537</w:t>
            </w:r>
          </w:p>
        </w:tc>
        <w:tc>
          <w:tcPr>
            <w:tcW w:w="260" w:type="dxa"/>
            <w:vAlign w:val="bottom"/>
          </w:tcPr>
          <w:p>
            <w:pPr>
              <w:spacing w:after="0"/>
              <w:rPr>
                <w:sz w:val="18"/>
                <w:szCs w:val="18"/>
                <w:color w:val="auto"/>
              </w:rPr>
            </w:pPr>
          </w:p>
        </w:tc>
        <w:tc>
          <w:tcPr>
            <w:tcW w:w="16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1,031</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Loans rated 9</w:t>
            </w:r>
          </w:p>
        </w:tc>
        <w:tc>
          <w:tcPr>
            <w:tcW w:w="260" w:type="dxa"/>
            <w:vAlign w:val="bottom"/>
          </w:tcPr>
          <w:p>
            <w:pPr>
              <w:spacing w:after="0"/>
              <w:rPr>
                <w:sz w:val="18"/>
                <w:szCs w:val="18"/>
                <w:color w:val="auto"/>
              </w:rPr>
            </w:pPr>
          </w:p>
        </w:tc>
        <w:tc>
          <w:tcPr>
            <w:tcW w:w="15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25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33" w:name="page34"/>
    <w:bookmarkEnd w:id="33"/>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100,402</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2012</w:t>
            </w: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Originated Portfolio</w:t>
            </w: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7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Construction</w:t>
            </w:r>
          </w:p>
        </w:tc>
        <w:tc>
          <w:tcPr>
            <w:tcW w:w="300" w:type="dxa"/>
            <w:vAlign w:val="bottom"/>
          </w:tcPr>
          <w:p>
            <w:pPr>
              <w:spacing w:after="0"/>
              <w:rPr>
                <w:sz w:val="10"/>
                <w:szCs w:val="10"/>
                <w:color w:val="auto"/>
              </w:rPr>
            </w:pPr>
          </w:p>
        </w:tc>
        <w:tc>
          <w:tcPr>
            <w:tcW w:w="1280" w:type="dxa"/>
            <w:vAlign w:val="bottom"/>
          </w:tcPr>
          <w:p>
            <w:pPr>
              <w:jc w:val="right"/>
              <w:ind w:right="314"/>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Purchased Portfolio</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and Industrial</w:t>
            </w:r>
          </w:p>
        </w:tc>
        <w:tc>
          <w:tcPr>
            <w:tcW w:w="1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5"/>
          </w:tcPr>
          <w:p>
            <w:pPr>
              <w:jc w:val="right"/>
              <w:ind w:right="1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Loans rated 7</w:t>
            </w: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Loans rated 9</w:t>
            </w: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100,196</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and the Board of Directors of the Company recognize that taking and managing risk is fundamental to the business of banking. Through the development, implementation and monitoring of its policies with respect to risk management, the Company strives to measure, evaluate and control the risks it faces. The Board and management understand that an effective risk management system is critical to the Company’s safety and soundness. Chief among the risks faced by us are credit risk, market risk (including interest rate risk), liquidity risk, and operational (transaction) risk.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considers credit risk to be the most significant risk that it faces, in that it has the greatest potential to affect the financial condition and operating results of the Company. Credit risk is managed through a combination of policies and limits established by the Board, the monitoring of compliance with these policies and limits, and the periodic evaluation of loans in the portfolio, including those with problem characteristics. The Company also utilizes the services of an independent third-party to provide loan review services, which consist of a variety of monitoring techniques after a loan is purchased or originated.</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general, Northeast’s policies establish limits on the maximum amount of credit that may be granted to a single borrower (including affiliates), the aggregate amount of loans outstanding by type in relation to total assets and capital, and concentrations of loans by size, property type, and geography. Underwriting criteria, such as collateral and debt service coverage ratios and approval limits are also specified in loan policies. The Company’s policies also address the performance of periodic credit reviews, the risk rating of loans, when loans should be placed on non-performing status and factors that should be considered in establishing the Bank’s allowance for loan losses. For additional information, refer to “Asset Quality” above and Item 1, “Business—Lending Activities.”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of market risk, the ALCO is charged with managing the Company’s mix of assets and funding sources to produce results that are consistent with the Company’s liquidity, capital adequacy, growth, and profitability goals.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 As of June 30, 2013, the income simulation analysis (as noted in the table below) for the first twelve-month period indicated that exposure to changing interest rates fell within the Company’s policy levels of tolerance.</w:t>
      </w:r>
    </w:p>
    <w:p>
      <w:pPr>
        <w:spacing w:after="0" w:line="16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w:t>
      </w:r>
    </w:p>
    <w:p>
      <w:pPr>
        <w:sectPr>
          <w:pgSz w:w="11900" w:h="16904" w:orient="portrait"/>
          <w:cols w:equalWidth="0" w:num="1">
            <w:col w:w="11420"/>
          </w:cols>
          <w:pgMar w:left="240" w:top="140" w:right="239" w:bottom="0" w:gutter="0" w:footer="0" w:header="0"/>
        </w:sectPr>
      </w:pPr>
    </w:p>
    <w:bookmarkStart w:id="34" w:name="page35"/>
    <w:bookmarkEnd w:id="34"/>
    <w:p>
      <w:pPr>
        <w:spacing w:after="0" w:line="8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Assuming a 200 basis point increase and 100 basis point decrease in interest rates starting on June 30, 2013, we estimate that our net interest income in the following 12 months would decrease by 0.92% if rates increased by 200 basis points and decrease by 0.78% if rates declined by 100 basis points. These results indicate a modest level of liability sensitivity in our balance sheet in a rising rate environment and a modest level of asset sensitivity in a declining rate environment, the latter result principally due to our assumption that most non-maturity deposits are at or near their effective interest rate floors. A liability-sensitive position would generally imply a negative impact on net interest income in periods of rising rates and a positive impact in periods of falling rates. An asset-sensitive position indicates that there are more rate-sensitive assets than rate-sensitive liabilities repricing or maturing within specific time horizons, which would generally imply a favorable impact on net interest income in periods of rising interest rates and a negative impact in periods of falling rates.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89"/>
              </w:rPr>
              <w:t>Up 200 Basis Points</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Down 100 Basis Points</w:t>
            </w:r>
          </w:p>
        </w:tc>
        <w:tc>
          <w:tcPr>
            <w:tcW w:w="180" w:type="dxa"/>
            <w:vAlign w:val="bottom"/>
            <w:tcBorders>
              <w:bottom w:val="single" w:sz="8" w:color="CCEEFF"/>
            </w:tcBorders>
          </w:tcPr>
          <w:p>
            <w:pPr>
              <w:spacing w:after="0"/>
              <w:rPr>
                <w:sz w:val="14"/>
                <w:szCs w:val="14"/>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1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-0.92%</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June 30, 2012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Liquidity risk is defined as the risk associated with an organization’s ability to meet current and future financial obligations of a short-term nature. Northeast uses its liquidity on a regular basis to fund existing and future loan commitments, to pay interest on deposits and on borrowings, to fund maturing certificates of deposit and borrowings, to fund other deposit withdrawals, to invest in other interest-earning assets, to make dividend payments to shareholders, and to meet operating expenses. The Company’s primary sources of liquidity consist of deposit inflows, borrowed funds, and the amortization, prepayment and maturities of loans and securities. While scheduled payments from the amortization and maturities of loans and investment securities are relatively predictable sources of funds, deposit flows and loan and investment prepayments can be greatly influenced by general interest rates, economic conditions and competition. In addition to these regular sources of funds, the Company may choose to sell portfolio loans and investment securities to meet liquidity demands.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monitor and forecast our liquidity position. There are several interdependent methods used by us for this purpose, including daily review of Federal Funds positions, monthly review of balance sheet changes, monthly review of liquidity ratios, quarterly review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liquidity forecasts and periodic review of contingent funding plans. Using these methods, the Company actively manages its liquidity position under the direction of the ALCO, which meets weekly.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is a summary of the unused borrowing capacity of the Company at June 30, 2013 available to meet our short-term funding needs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167,660</w:t>
            </w:r>
          </w:p>
        </w:tc>
        <w:tc>
          <w:tcPr>
            <w:tcW w:w="120" w:type="dxa"/>
            <w:vAlign w:val="bottom"/>
            <w:shd w:val="clear" w:color="auto" w:fill="CCEEFF"/>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20,473</w:t>
            </w:r>
          </w:p>
        </w:tc>
        <w:tc>
          <w:tcPr>
            <w:tcW w:w="5920" w:type="dxa"/>
            <w:vAlign w:val="bottom"/>
          </w:tcPr>
          <w:p>
            <w:pPr>
              <w:ind w:left="100"/>
              <w:spacing w:after="0"/>
              <w:rPr>
                <w:sz w:val="20"/>
                <w:szCs w:val="20"/>
                <w:color w:val="auto"/>
              </w:rPr>
            </w:pPr>
            <w:r>
              <w:rPr>
                <w:rFonts w:ascii="Arial" w:cs="Arial" w:eastAsia="Arial" w:hAnsi="Arial"/>
                <w:sz w:val="18"/>
                <w:szCs w:val="18"/>
                <w:color w:val="auto"/>
              </w:rPr>
              <w:t>Unused advance capacity subject to eligible and qualified collateral</w:t>
            </w:r>
          </w:p>
        </w:tc>
      </w:tr>
      <w:tr>
        <w:trPr>
          <w:trHeight w:val="202"/>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Discount Window Borrower-in-</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rPr>
                <w:sz w:val="17"/>
                <w:szCs w:val="17"/>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Custody</w:t>
            </w: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Unused credit line subject to the pledge of indirect auto loans</w:t>
            </w:r>
          </w:p>
        </w:tc>
      </w:tr>
      <w:tr>
        <w:trPr>
          <w:trHeight w:val="210"/>
        </w:trPr>
        <w:tc>
          <w:tcPr>
            <w:tcW w:w="3480" w:type="dxa"/>
            <w:vAlign w:val="bottom"/>
          </w:tcPr>
          <w:p>
            <w:pPr>
              <w:ind w:left="180"/>
              <w:spacing w:after="0"/>
              <w:rPr>
                <w:sz w:val="20"/>
                <w:szCs w:val="20"/>
                <w:color w:val="auto"/>
              </w:rPr>
            </w:pPr>
            <w:r>
              <w:rPr>
                <w:rFonts w:ascii="Arial" w:cs="Arial" w:eastAsia="Arial" w:hAnsi="Arial"/>
                <w:sz w:val="18"/>
                <w:szCs w:val="18"/>
                <w:color w:val="auto"/>
              </w:rPr>
              <w:t>Total unused borrowing capacity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188,213</w:t>
            </w:r>
          </w:p>
        </w:tc>
        <w:tc>
          <w:tcPr>
            <w:tcW w:w="1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68,142</w:t>
            </w:r>
          </w:p>
        </w:tc>
        <w:tc>
          <w:tcPr>
            <w:tcW w:w="5920" w:type="dxa"/>
            <w:vAlign w:val="bottom"/>
            <w:shd w:val="clear" w:color="auto" w:fill="CCEEFF"/>
          </w:tcPr>
          <w:p>
            <w:pPr>
              <w:spacing w:after="0"/>
              <w:rPr>
                <w:sz w:val="18"/>
                <w:szCs w:val="18"/>
                <w:color w:val="auto"/>
              </w:rPr>
            </w:pPr>
          </w:p>
        </w:tc>
      </w:tr>
      <w:tr>
        <w:trPr>
          <w:trHeight w:val="210"/>
        </w:trPr>
        <w:tc>
          <w:tcPr>
            <w:tcW w:w="3480" w:type="dxa"/>
            <w:vAlign w:val="bottom"/>
          </w:tcPr>
          <w:p>
            <w:pPr>
              <w:ind w:left="180"/>
              <w:spacing w:after="0"/>
              <w:rPr>
                <w:sz w:val="20"/>
                <w:szCs w:val="20"/>
                <w:color w:val="auto"/>
              </w:rPr>
            </w:pPr>
            <w:r>
              <w:rPr>
                <w:rFonts w:ascii="Arial" w:cs="Arial" w:eastAsia="Arial" w:hAnsi="Arial"/>
                <w:sz w:val="18"/>
                <w:szCs w:val="18"/>
                <w:color w:val="auto"/>
              </w:rPr>
              <w:t>Total sources of liquidity</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256,355</w:t>
            </w:r>
          </w:p>
        </w:tc>
        <w:tc>
          <w:tcPr>
            <w:tcW w:w="1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Retail deposits and other core deposit sources including deposit listing services are used by the Bank to manage its overall liquidity position. While we currently do not seek wholesale funding such as FHLB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 advance capacity, the purchase of additional capital stock in the Federal Home Loan Bank of Boston may be required. At June 30, 2013, the Bank had $256.4 million of immediately accessible off-balance sheet liquidity, defined as cash that the Bank reasonably believes could be raised within 7 days through collateralized borrowings or brokered deposits. This position represented 38% of total assets. Further, at June 30, 2013, the Company had $65.9 million of cash and cash equivalents. This level of balance sheet liquidity is intended, in part, for future purchases of commercial real estate loans.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 parent company only basis, commitments and debt service requirements at June 30, 2013 consisted of junior subordinated debentures issued to NBN Capital Trust II, NBN Capital Trust III and NBN Capital Trust IV with a principal balance of $16.5 million. See Note 18 of the Notes to the Consolidated Financial Statements for carrying values, maturity dates and the use of purchased interest rate caps and swaps to hedge the interest expense in periods of rising interest rates. Based on the interest rates at June 30, 2013, the annual aggregate payments to meet the debt service of the junior subordinated debentures is approximately $401 thousand. Including the impact of the interest rate swap associated with NBN Capital Trust IV subordinated debentures, annual payments are expected to total $653 thousand.</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principal sources of funds for the Company to meet parent-only obligations are dividends from the Bank, which are subject to regulatory limitations, and borrowings from public and private sources. For information on the restrictions on the payment of dividends by Northeast Bank, see Note 9 of the Notes to the Company’s Consolidated Financial Statements in this Annual Report.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2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Operational risk, which we define as the risk of loss from failed internal processes, people and systems, and external events, is inherent in all of our business activities. The principal ways in which we manage operational risk include the establishment of departmental and business-specific policies and procedures,</w:t>
      </w:r>
    </w:p>
    <w:p>
      <w:pPr>
        <w:sectPr>
          <w:pgSz w:w="11900" w:h="16921" w:orient="portrait"/>
          <w:cols w:equalWidth="0" w:num="1">
            <w:col w:w="11400"/>
          </w:cols>
          <w:pgMar w:left="240" w:top="125" w:right="259" w:bottom="0" w:gutter="0" w:footer="0" w:header="0"/>
        </w:sectPr>
      </w:pPr>
    </w:p>
    <w:bookmarkStart w:id="35" w:name="page36"/>
    <w:bookmarkEnd w:id="35"/>
    <w:p>
      <w:pPr>
        <w:spacing w:after="0" w:line="1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internal controls and monitoring requirements. Some specific examples include our information security program, business continuity planning and testing, our vendor management program, reconciliation processes, our enterprise risk assessment process, and new product and/or system introduction processes. Periodic internal audits provide an important independent check on adherence to policies, procedures and controls designed to mitigate risk exposure.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unused lines of credit and standby letters of credit is represented by the contractual amount of those instruments. 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committed amounts do not necessarily represent future cash requirements. To control the credit risk associated with entering into commitments and issuing letters of credit, the Company uses the same credit quality, collateral policies, and monitoring controls in making commitments and letters of credit as it does with its lending activities.</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The credit risk involved in issuing letters of credit is essentially the same as that involved in extending loans to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Unused lines of credit and commitments to extend credit typically result in loans with a market interest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amounts of the Company’s contractual obligations, and other commitments with off-balance sheet risk, both at June 30, 2013,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 By Period</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980" w:type="dxa"/>
            <w:vAlign w:val="bottom"/>
          </w:tcPr>
          <w:p>
            <w:pPr>
              <w:jc w:val="center"/>
              <w:ind w:right="96"/>
              <w:spacing w:after="0" w:line="119" w:lineRule="exact"/>
              <w:rPr>
                <w:sz w:val="20"/>
                <w:szCs w:val="20"/>
                <w:color w:val="auto"/>
              </w:rPr>
            </w:pPr>
            <w:r>
              <w:rPr>
                <w:rFonts w:ascii="Arial" w:cs="Arial" w:eastAsia="Arial" w:hAnsi="Arial"/>
                <w:sz w:val="13"/>
                <w:szCs w:val="13"/>
                <w:b w:val="1"/>
                <w:bCs w:val="1"/>
                <w:color w:val="auto"/>
                <w:w w:val="99"/>
              </w:rPr>
              <w:t>Less Than</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155"/>
              <w:spacing w:after="0" w:line="119" w:lineRule="exact"/>
              <w:rPr>
                <w:sz w:val="20"/>
                <w:szCs w:val="20"/>
                <w:color w:val="auto"/>
              </w:rPr>
            </w:pPr>
            <w:r>
              <w:rPr>
                <w:rFonts w:ascii="Arial" w:cs="Arial" w:eastAsia="Arial" w:hAnsi="Arial"/>
                <w:sz w:val="13"/>
                <w:szCs w:val="13"/>
                <w:b w:val="1"/>
                <w:bCs w:val="1"/>
                <w:color w:val="auto"/>
              </w:rPr>
              <w:t>1-3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35"/>
              <w:spacing w:after="0" w:line="119" w:lineRule="exact"/>
              <w:rPr>
                <w:sz w:val="20"/>
                <w:szCs w:val="20"/>
                <w:color w:val="auto"/>
              </w:rPr>
            </w:pPr>
            <w:r>
              <w:rPr>
                <w:rFonts w:ascii="Arial" w:cs="Arial" w:eastAsia="Arial" w:hAnsi="Arial"/>
                <w:sz w:val="13"/>
                <w:szCs w:val="13"/>
                <w:b w:val="1"/>
                <w:bCs w:val="1"/>
                <w:color w:val="auto"/>
                <w:w w:val="95"/>
              </w:rPr>
              <w:t>4-5</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35"/>
              <w:spacing w:after="0" w:line="119" w:lineRule="exact"/>
              <w:rPr>
                <w:sz w:val="20"/>
                <w:szCs w:val="20"/>
                <w:color w:val="auto"/>
              </w:rPr>
            </w:pPr>
            <w:r>
              <w:rPr>
                <w:rFonts w:ascii="Arial" w:cs="Arial" w:eastAsia="Arial" w:hAnsi="Arial"/>
                <w:sz w:val="13"/>
                <w:szCs w:val="13"/>
                <w:b w:val="1"/>
                <w:bCs w:val="1"/>
                <w:color w:val="auto"/>
              </w:rPr>
              <w:t>After 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Years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FHLB advances</w:t>
            </w:r>
          </w:p>
        </w:tc>
        <w:tc>
          <w:tcPr>
            <w:tcW w:w="9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27,500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12,500</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 repurchase agreements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Junior subordinated debentures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16,496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obligations</w:t>
            </w: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71,701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23,067</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1,894</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jc w:val="center"/>
              <w:ind w:right="520"/>
              <w:spacing w:after="0"/>
              <w:rPr>
                <w:sz w:val="20"/>
                <w:szCs w:val="20"/>
                <w:color w:val="auto"/>
              </w:rPr>
            </w:pPr>
            <w:r>
              <w:rPr>
                <w:rFonts w:ascii="Arial" w:cs="Arial" w:eastAsia="Arial" w:hAnsi="Arial"/>
                <w:sz w:val="14"/>
                <w:szCs w:val="14"/>
                <w:b w:val="1"/>
                <w:bCs w:val="1"/>
                <w:color w:val="auto"/>
                <w:w w:val="94"/>
              </w:rPr>
              <w:t>Amount of Commitment Expiring - By Period</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980" w:type="dxa"/>
            <w:vAlign w:val="bottom"/>
          </w:tcPr>
          <w:p>
            <w:pPr>
              <w:jc w:val="center"/>
              <w:ind w:right="96"/>
              <w:spacing w:after="0" w:line="119" w:lineRule="exact"/>
              <w:rPr>
                <w:sz w:val="20"/>
                <w:szCs w:val="20"/>
                <w:color w:val="auto"/>
              </w:rPr>
            </w:pPr>
            <w:r>
              <w:rPr>
                <w:rFonts w:ascii="Arial" w:cs="Arial" w:eastAsia="Arial" w:hAnsi="Arial"/>
                <w:sz w:val="13"/>
                <w:szCs w:val="13"/>
                <w:b w:val="1"/>
                <w:bCs w:val="1"/>
                <w:color w:val="auto"/>
                <w:w w:val="99"/>
              </w:rPr>
              <w:t>Less Than</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155"/>
              <w:spacing w:after="0" w:line="119" w:lineRule="exact"/>
              <w:rPr>
                <w:sz w:val="20"/>
                <w:szCs w:val="20"/>
                <w:color w:val="auto"/>
              </w:rPr>
            </w:pPr>
            <w:r>
              <w:rPr>
                <w:rFonts w:ascii="Arial" w:cs="Arial" w:eastAsia="Arial" w:hAnsi="Arial"/>
                <w:sz w:val="13"/>
                <w:szCs w:val="13"/>
                <w:b w:val="1"/>
                <w:bCs w:val="1"/>
                <w:color w:val="auto"/>
              </w:rPr>
              <w:t>1-3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35"/>
              <w:spacing w:after="0" w:line="119" w:lineRule="exact"/>
              <w:rPr>
                <w:sz w:val="20"/>
                <w:szCs w:val="20"/>
                <w:color w:val="auto"/>
              </w:rPr>
            </w:pPr>
            <w:r>
              <w:rPr>
                <w:rFonts w:ascii="Arial" w:cs="Arial" w:eastAsia="Arial" w:hAnsi="Arial"/>
                <w:sz w:val="13"/>
                <w:szCs w:val="13"/>
                <w:b w:val="1"/>
                <w:bCs w:val="1"/>
                <w:color w:val="auto"/>
                <w:w w:val="95"/>
              </w:rPr>
              <w:t>4-5</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35"/>
              <w:spacing w:after="0" w:line="119" w:lineRule="exact"/>
              <w:rPr>
                <w:sz w:val="20"/>
                <w:szCs w:val="20"/>
                <w:color w:val="auto"/>
              </w:rPr>
            </w:pPr>
            <w:r>
              <w:rPr>
                <w:rFonts w:ascii="Arial" w:cs="Arial" w:eastAsia="Arial" w:hAnsi="Arial"/>
                <w:sz w:val="13"/>
                <w:szCs w:val="13"/>
                <w:b w:val="1"/>
                <w:bCs w:val="1"/>
                <w:color w:val="auto"/>
              </w:rPr>
              <w:t>After 5</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Years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Commitments with off-balance sheet risk:</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9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44,157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26,341</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4,409</w:t>
            </w:r>
          </w:p>
        </w:tc>
        <w:tc>
          <w:tcPr>
            <w:tcW w:w="240" w:type="dxa"/>
            <w:vAlign w:val="bottom"/>
          </w:tcPr>
          <w:p>
            <w:pPr>
              <w:spacing w:after="0"/>
              <w:rPr>
                <w:sz w:val="18"/>
                <w:szCs w:val="18"/>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2,332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60" w:type="dxa"/>
            <w:vAlign w:val="bottom"/>
          </w:tcPr>
          <w:p>
            <w:pPr>
              <w:ind w:left="180"/>
              <w:spacing w:after="0"/>
              <w:rPr>
                <w:sz w:val="20"/>
                <w:szCs w:val="20"/>
                <w:color w:val="auto"/>
              </w:rPr>
            </w:pPr>
            <w:r>
              <w:rPr>
                <w:rFonts w:ascii="Arial" w:cs="Arial" w:eastAsia="Arial" w:hAnsi="Arial"/>
                <w:sz w:val="18"/>
                <w:szCs w:val="18"/>
                <w:color w:val="auto"/>
              </w:rPr>
              <w:t>Total commitments</w:t>
            </w:r>
          </w:p>
        </w:tc>
        <w:tc>
          <w:tcPr>
            <w:tcW w:w="7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44,577</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26,761</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Stockholders’ equity totaled $113.8 million and $119.1 million at June 30, 2013 and 2012, respectively, a decrease of $5.3 million, or 4.5%. The decrease in stockholders’ equity was principally due to the redemption of all shares of preferred stock and common stock warrants issued to the U.S. Department of the Treasury (the “UST”) under the Troubled Asset Relief Program (“TARP”). The Company paid $4.3 million in December 2012 to redeem the preferred stock and warrants.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May of 2012, the Company raised net proceeds of $52.7 million through the sale of 6.9 million shares of common stock, resulting in total outstanding common shares of approximately 10.4 million.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See Note 9 of the Notes to the Consolidated Financial Statements for information on capital ratios. Regulatory capital ratios for the Company and the Bank currently exceed all applicable requirements, including the commitments made to the Federal Reserve and the Bureau in connection with the Merger to maintain minimum Tier 1 leverage and total risk-based capital ratios of 10% and 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consolidated financial statements and related notes have been presented in terms of historic dollars without considering changes in the relative purchasing power of money over time due to inflation. Unlike industrial companies, nearly all of the assets and virtually all of the liabilities of the Company are monetary in nature. As a result, interest rates have a more significant impact on the Company’s performance than the general level of inflation. Over short periods of time, interest rates may not necessarily move in the same direction or in the same magnitude as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Note 1 of the Notes to the Consolidated Financial Statement includes the FASB and the SEC issued statements and interpretations affecting the Company.</w:t>
      </w:r>
    </w:p>
    <w:p>
      <w:pPr>
        <w:sectPr>
          <w:pgSz w:w="11900" w:h="16851" w:orient="portrait"/>
          <w:cols w:equalWidth="0" w:num="1">
            <w:col w:w="11420"/>
          </w:cols>
          <w:pgMar w:left="240" w:top="125" w:right="239" w:bottom="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Critical accounting policies are those that involve significant judgments and assessments by management, and that could potentially result in materially different results under different assumptions and conditions. Northeast considers the following to be its critical accounting policies: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Loan losses are charged against the allowance when management believes the uncollectibility of a loan balance is confirmed. Subsequent recoveries, if any, are credited to the allowance.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loans modified in troubled debt restructurings are individually reviewed for impairment.</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all portfolio segments, except the purchased loan segment,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Loan impairment of purchased loans is measured based on the decrease in expected cash flows from those estimated at acquisition, excluding changes due to decreases in interest rate indices,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Operations—Risk Management” and accompanying table set forth therein for quantitative and qualitative disclosures about market risk.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37" w:right="239" w:bottom="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of Northeast Bancorp</w:t>
      </w:r>
    </w:p>
    <w:p>
      <w:pPr>
        <w:spacing w:after="0" w:line="21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have audited the accompanying consolidated balance sheet of Northeast Bancorp and subsidiary as of June 30, 2013, and the related consolidated statements of income, comprehensive income, changes in stockholders’ equity, and cash flows for the year then ended. These financial statements are the responsibility of the Company’s management. Our responsibility is to express an opinion on these financial statements based on our audit.</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Northeast Bancorp and subsidiary at June 30, 2013 and the consolidated results of their operations and their cash flows for the year then ended, in conformity with U.S. generally accepted accounting principles.</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152400</wp:posOffset>
            </wp:positionV>
            <wp:extent cx="5402580" cy="1166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0258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Northeast Bancorp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Lewiston, Maine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have audited the accompanying consolidated balance sheet of Northeast Bancorp and Subsidiary as of June 30, 2012 and the related consolidated statements of income, comprehensive income, changes in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8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17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our opinion, the 2012 consolidated financial statements referred to above present fairly, in all material respects, the consolidated financial position of Northeast Bancorp and Subsidiary as of June 30, 2012, and the consolidated results of their operations and their cash flows for the year then ended, in conformity with U.S. generally accepted accounting principles.</w:t>
      </w:r>
    </w:p>
    <w:p>
      <w:pPr>
        <w:sectPr>
          <w:pgSz w:w="11900" w:h="16838" w:orient="portrait"/>
          <w:cols w:equalWidth="0" w:num="1">
            <w:col w:w="11420"/>
          </w:cols>
          <w:pgMar w:left="240" w:top="1440" w:right="239" w:bottom="0" w:gutter="0" w:footer="0" w:header="0"/>
        </w:sectPr>
      </w:pPr>
    </w:p>
    <w:bookmarkStart w:id="38" w:name="page39"/>
    <w:bookmarkEnd w:id="38"/>
    <w:p>
      <w:pPr>
        <w:ind w:left="5720"/>
        <w:spacing w:after="0"/>
        <w:rPr>
          <w:sz w:val="20"/>
          <w:szCs w:val="20"/>
          <w:color w:val="auto"/>
        </w:rPr>
      </w:pPr>
      <w:r>
        <w:rPr>
          <w:rFonts w:ascii="Arial" w:cs="Arial" w:eastAsia="Arial" w:hAnsi="Arial"/>
          <w:sz w:val="18"/>
          <w:szCs w:val="18"/>
          <w:color w:val="auto"/>
        </w:rPr>
        <w:t>/s/ SHATSWELL, MacLEOD &amp; COMPANY,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 Peabody,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142875</wp:posOffset>
            </wp:positionV>
            <wp:extent cx="6037580" cy="531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758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ind w:left="3760"/>
              <w:spacing w:after="0" w:line="196"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65,934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Available-for-sale securities, at fair value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121,597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435,376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1,143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434,233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Real estate owned and other possessed collateral,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Noninterest bearing</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46,425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438,198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Total deposits</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484,623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25,397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160"/>
              <w:spacing w:after="0" w:line="201" w:lineRule="exact"/>
              <w:rPr>
                <w:sz w:val="20"/>
                <w:szCs w:val="20"/>
                <w:color w:val="auto"/>
              </w:rPr>
            </w:pPr>
            <w:r>
              <w:rPr>
                <w:rFonts w:ascii="Arial" w:cs="Arial" w:eastAsia="Arial" w:hAnsi="Arial"/>
                <w:sz w:val="18"/>
                <w:szCs w:val="18"/>
                <w:color w:val="auto"/>
                <w:w w:val="91"/>
              </w:rPr>
              <w:t>Preferred stock, $1.00 par value, 1,000,000 shares authorized; no shares issued and outstanding at June 30,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w w:val="93"/>
              </w:rPr>
              <w:t>2013; 4,227 shares issued and outstanding at June 30, 2012; liquidation preference of $1,000 per share</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Voting common stock, $1.00 par value, 25,000,000 and 13,500,000 shares authorized at June 30, 2013 and</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2012, respectively; 9,565,680 and 9,307,127 issued and outstanding at June 30, 2013 and 2012,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9,566</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w w:val="91"/>
              </w:rPr>
              <w:t>Non-voting common stock, $1.00 par value, 3,000,000 and 1,500,000 shares authorized at June 30, 2013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w w:val="95"/>
              </w:rPr>
              <w:t>and 2012, respectively; 880,963 and 1,076,314 issued and outstanding at June 30, 2013 and 2012,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113,802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670,639</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557" w:right="239" w:bottom="0" w:gutter="0" w:footer="0" w:header="0"/>
        </w:sectPr>
      </w:pPr>
    </w:p>
    <w:bookmarkStart w:id="39" w:name="page40"/>
    <w:bookmarkEnd w:id="39"/>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dividend income:</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35,017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dividends on available-for-sale securities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dividend income</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4,098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769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29,947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interest and dividend income after provision for loan losses</w:t>
            </w:r>
          </w:p>
        </w:tc>
        <w:tc>
          <w:tcPr>
            <w:tcW w:w="1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28,825</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Noninterest income: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Net securities gains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loans held for sale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Gain on sales of portfolio loans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2,311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recognized on real estate owned and other repossessed collateral, net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Investment commissions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2,919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19,218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1,634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1,049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Legal settlement expense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noninterest expense</w:t>
            </w:r>
          </w:p>
        </w:tc>
        <w:tc>
          <w:tcPr>
            <w:tcW w:w="1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34,685</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from continuing operations before income tax expense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6,365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from continuing operations</w:t>
            </w:r>
          </w:p>
        </w:tc>
        <w:tc>
          <w:tcPr>
            <w:tcW w:w="1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discontinued operations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from discontinued operations</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available to common stockholders</w:t>
            </w:r>
          </w:p>
        </w:tc>
        <w:tc>
          <w:tcPr>
            <w:tcW w:w="1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4,065</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10,409,588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4,277,777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10,409,588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2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40" w:name="page41"/>
    <w:bookmarkEnd w:id="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50"/>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1"/>
                <w:szCs w:val="21"/>
                <w:color w:val="auto"/>
              </w:rPr>
            </w:pPr>
          </w:p>
        </w:tc>
      </w:tr>
      <w:tr>
        <w:trPr>
          <w:trHeight w:val="197"/>
        </w:trPr>
        <w:tc>
          <w:tcPr>
            <w:tcW w:w="8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210"/>
        </w:trPr>
        <w:tc>
          <w:tcPr>
            <w:tcW w:w="7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14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r>
      <w:tr>
        <w:trPr>
          <w:trHeight w:val="216"/>
        </w:trPr>
        <w:tc>
          <w:tcPr>
            <w:tcW w:w="7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income, before tax:</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540"/>
              <w:spacing w:after="0"/>
              <w:rPr>
                <w:sz w:val="20"/>
                <w:szCs w:val="20"/>
                <w:color w:val="auto"/>
              </w:rPr>
            </w:pPr>
            <w:r>
              <w:rPr>
                <w:rFonts w:ascii="Arial" w:cs="Arial" w:eastAsia="Arial" w:hAnsi="Arial"/>
                <w:sz w:val="18"/>
                <w:szCs w:val="18"/>
                <w:color w:val="auto"/>
              </w:rPr>
              <w:t>Available-for-sale securities: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net unrealized gain or loss on available-for-sale securities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(2,469)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(3,261)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ind w:left="540"/>
              <w:spacing w:after="0"/>
              <w:rPr>
                <w:sz w:val="20"/>
                <w:szCs w:val="20"/>
                <w:color w:val="auto"/>
              </w:rPr>
            </w:pPr>
            <w:r>
              <w:rPr>
                <w:rFonts w:ascii="Arial" w:cs="Arial" w:eastAsia="Arial" w:hAnsi="Arial"/>
                <w:sz w:val="18"/>
                <w:szCs w:val="18"/>
                <w:color w:val="auto"/>
              </w:rPr>
              <w:t>Derivatives and hedging activities: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accumulated loss on effective cash flow hedges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20" w:type="dxa"/>
            <w:vAlign w:val="bottom"/>
          </w:tcPr>
          <w:p>
            <w:pPr>
              <w:ind w:left="360"/>
              <w:spacing w:after="0"/>
              <w:rPr>
                <w:sz w:val="20"/>
                <w:szCs w:val="20"/>
                <w:color w:val="auto"/>
              </w:rPr>
            </w:pPr>
            <w:r>
              <w:rPr>
                <w:rFonts w:ascii="Arial" w:cs="Arial" w:eastAsia="Arial" w:hAnsi="Arial"/>
                <w:sz w:val="18"/>
                <w:szCs w:val="18"/>
                <w:color w:val="auto"/>
              </w:rPr>
              <w:t>Total other comprehensive (loss) income, before tax</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(3,139)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 related to other comprehensive (loss) income</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(1,067)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0"/>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(loss) income, net of tax</w:t>
            </w:r>
          </w:p>
        </w:tc>
        <w:tc>
          <w:tcPr>
            <w:tcW w:w="12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(2,072)</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18"/>
                <w:szCs w:val="18"/>
                <w:color w:val="auto"/>
              </w:rPr>
            </w:pPr>
          </w:p>
        </w:tc>
      </w:tr>
      <w:tr>
        <w:trPr>
          <w:trHeight w:val="210"/>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1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(Dollars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8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vMerge w:val="restart"/>
          </w:tcPr>
          <w:p>
            <w:pPr>
              <w:jc w:val="right"/>
              <w:ind w:right="26"/>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960" w:type="dxa"/>
            <w:vAlign w:val="bottom"/>
          </w:tcPr>
          <w:p>
            <w:pPr>
              <w:spacing w:after="0"/>
              <w:rPr>
                <w:sz w:val="9"/>
                <w:szCs w:val="9"/>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Voting Common Stock</w:t>
            </w:r>
          </w:p>
        </w:tc>
        <w:tc>
          <w:tcPr>
            <w:tcW w:w="100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60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voting Common Stock</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Paid-</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960" w:type="dxa"/>
            <w:vAlign w:val="bottom"/>
          </w:tcPr>
          <w:p>
            <w:pPr>
              <w:spacing w:after="0"/>
              <w:rPr>
                <w:sz w:val="9"/>
                <w:szCs w:val="9"/>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9"/>
                <w:szCs w:val="9"/>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 Capital</w:t>
            </w:r>
          </w:p>
        </w:tc>
        <w:tc>
          <w:tcPr>
            <w:tcW w:w="76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3,312,173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5,994,954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5,995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880,963</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45,791</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on preferred stock</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Dividends on common stock at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$0.36 per share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Accretion of preferred stock</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9,307,127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1,076,314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Conversion of non-voting common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stock to voting common stock</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195,351</w:t>
            </w: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(195,351)</w:t>
            </w: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offering costs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w w:val="94"/>
              </w:rPr>
              <w:t>Issuance of restricted common stock</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63,202</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on preferred stock</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Dividends on common stock at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$0.36 per share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w w:val="99"/>
              </w:rPr>
              <w:t>Redemption of preferred stock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warrants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(4,227)</w:t>
            </w:r>
          </w:p>
        </w:tc>
        <w:tc>
          <w:tcPr>
            <w:tcW w:w="46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preferred stock</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Balance at June 30, 2013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9,565,680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880,963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92,745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12,524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40" w:right="239" w:bottom="0" w:gutter="0" w:footer="0" w:header="0"/>
        </w:sectPr>
      </w:pPr>
    </w:p>
    <w:bookmarkStart w:id="41" w:name="page42"/>
    <w:bookmarkEnd w:id="41"/>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4,420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1,122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sale or impairment of repossessed collateral, net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Accretion of loans,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(9,926)</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deposits, net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Accretion of borrowings,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Originations of loans held for sale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(141,870)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Net proceeds from sales of loans held for sale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146,167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 of loans held for sale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Gain on sales of portfolio loans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(2,311)</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Bank-owned life insurance income,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premises and equipment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Loss on disposition of premises and equipment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available-for-sale securities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Deferred income tax (benefit) provision</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Gain on sale of assets of insurance division</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securities, net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sales of available-for-sale securities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159,579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(167,294)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15,203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(121,336)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42,217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premises and equipment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3,925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life insurance benefits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(Purchase) redemption of regulatory stock,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assets of insurance division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(63,083)</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Financing activities: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63,424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decrease short-term borrowings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preferred stock</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Repayment of FHLB borrowings and wholesale repurchase agreements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(55,000)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other borrowings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Redemption of preferred stock and warrants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(4,326)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128,274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83,931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8,751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 net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1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5,264</w:t>
            </w:r>
          </w:p>
        </w:tc>
        <w:tc>
          <w:tcPr>
            <w:tcW w:w="50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42" w:name="page43"/>
    <w:bookmarkEnd w:id="4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from real estate owned to loans</w:t>
            </w:r>
          </w:p>
        </w:tc>
        <w:tc>
          <w:tcPr>
            <w:tcW w:w="41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1,055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accounting and reporting policies of Northeast Bancorp and Subsidiary (“Company” or “Northeast”) conform to accounting principles generally accepted in the United States of America (“GAAP”) and conform to practices within the financial services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is a Maine corporation and a bank holding company registered with the Federal Reserve Bank of Boston (“FRB”) under the Bank Holding Company Act of 1956. The Company provides a full range of banking services to individual and corporate customers throughout south-central and western Maine and conducts loan purchasing activities nationwide through its wholly-owned subsidiary, Northeast Bank (the “Bank”), a Maine state-chartered universal bank and a member of the Federal Reserve Bank of Boston. As a result, the Bank is subject to the joint regulatory oversight by the FRB and the State of Maine Bureau of Financial Institutions. The Bank is also subject to the regulations of the Federal Deposit Insurance Corporation (“FDIC”). The Bank faces competition from banks and other financial institutions.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 Accounting</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December 29, 2010, the Company merged with FHB Formation LLC (the “Merger”). The Company applied the acquisition method of accounting to this business combination, which represented an acquisition by FHB Formation LLC (“FHB”) of Northeast, with Northeast as the surviving company. Under the acquisition method, the acquiring entity in a business combination recognizes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In the Merger, amounts allocated to assets acquired and liabilities assumed were greater than the purchase price, which resulted in the recognition of a bargain purchase gain. Acquisition-related costs were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Northeast Bancorp, and its wholly-owned subsidiary, Northeast Bank (including the Bank’s wholly-owned subsidiaries). All significant intercompany transactions and balances have been eliminated in consolidation.</w:t>
      </w:r>
    </w:p>
    <w:p>
      <w:pPr>
        <w:spacing w:after="0" w:line="14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NBN Capital Trust II, NBN Capital Trust III and NBN Capital Trust IV are considered affiliates and are deconsolidated pursuant to criteria established by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investments in these affiliates were $496 thousand in aggregate and are included in other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previously reported amounts have been reclassified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financial statements have been prepared in conformity with GAAP. In preparing the financial statements, management is required to make estimates and assumptions that affect the reported amounts of assets and liabilities and the disclosure of contingent assets and liabilities as of the date of the statement of financial condition and income and expenses for the period. Actual results could differ significantly from those estimates.</w:t>
      </w:r>
    </w:p>
    <w:p>
      <w:pPr>
        <w:spacing w:after="0" w:line="16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Material estimates that are particularly susceptible to significant change relate to the determination of the allowance for loan losses, the determination of fair values in conjunction with the application of acquisition accounting, and the on-going evaluation of assets for potential impairment.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 of Credit Risk</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Most of the Company’s business activity is with customers located within the State of Maine. However, the Company’s loan purchasing activities are diversified across the country. In all regions, the Company has emphasized the origination and purchase of commercial real estate loans. Repayment of loans is expected to come from cash flows of the borrower. Losses on secured loans are limited by the value of the collateral upon default of the borrowers. The Company does not have any significant concentrations to any one industry or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purposes of presentation in the consolidated statements of cash flow, cash and cash equivalents consist of cash and due from banks and short-term investments. The Company is required to maintain a certain reserve balance in the form of cash or deposits with other financial institutions. At June 30, 2013 and 2012, such reserve balances totaled $5.3 million and $3.8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51" w:orient="portrait"/>
          <w:cols w:equalWidth="0" w:num="1">
            <w:col w:w="11420"/>
          </w:cols>
          <w:pgMar w:left="240" w:top="140"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Investment Securities</w:t>
      </w:r>
    </w:p>
    <w:p>
      <w:pPr>
        <w:sectPr>
          <w:pgSz w:w="11900" w:h="16851" w:orient="portrait"/>
          <w:cols w:equalWidth="0" w:num="1">
            <w:col w:w="11420"/>
          </w:cols>
          <w:pgMar w:left="240" w:top="140" w:right="239" w:bottom="0" w:gutter="0" w:footer="0" w:header="0"/>
          <w:type w:val="continuous"/>
        </w:sectPr>
      </w:pPr>
    </w:p>
    <w:bookmarkStart w:id="43" w:name="page44"/>
    <w:bookmarkEnd w:id="43"/>
    <w:p>
      <w:pPr>
        <w:spacing w:after="0" w:line="2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Securities for which the Company has the positive intent and ability to hold to maturity are classified as held to maturity and carried at amortized cost. Those securities held for indefinite periods of time but not necessarily to maturity are classified as available for sale. Securities held for indefinite periods of time include securities that management intends to use as part of its asset/liability, liquidity, or capital management strategies and may be sold in response to changes in interest rates, maturities, asset/liability mix, liquidity needs, regulatory capital needs or other business factors. Securities available for sale are carried at estimated fair value with unrealized gains and losses reported on an after-tax basis in stockholders’ equity as accumulated other comprehensive income or loss.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Interest and dividends on securities are recorded on the accrual method. Premiums and discounts on securities are amortized or accreted into interest income by the level-yield method over the remaining period to contractual maturity, adjusted for the effect of actual prepayments in the case of mortgage-backed securities. These estimates of prepayment assumptions are made based upon the actual performance of the underlying security, current interest rates, the general market consensus regarding changes in mortgage interest rates, the contractual repayment terms of the underlying loans, the priority rights of the investors to the cash flows from the mortgage securities and other economic conditions. When differences arise between anticipated prepayments and actual prepayments, the effective yield is recalculated to reflect actual payments to date and anticipated future payments. Unamortized premium or discount is adjusted to the amount that would have existed had the new effective yield been applied since purchase, with a corresponding charge or credit to interest income.</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Security transactions are recorded on the trade date. Realized gains and losses are determined using the specific identification method and are recorded in non-interest income.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evaluates securities for other-than-temporary impairment on a periodic basis. Factors considered in determining whether an impairment is other-than-temporary include: (1) the length of time and the extent to which the fair value has been less than cost, (2) the financial condition and near-term prospects of the issuer and (3) the intent and ability of the Company to hold the investment for a period of time sufficient to allow for any anticipated recovery in fair value. If the Company intends to sell an impaired security, the Company records an other-than-temporary loss in an amount equal to the entire difference between the fair value and amortized cost. If a security is determined to be other-than-temporarily impaired but the Company does not intend to sell the security, only the credit portion of the estimated loss is recognized in earnings, with the other portion of the loss recognized in other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and Federal Reserve Bank Stock</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owns investments in the stock of the FRB and the Federal Home Loan Bank of Boston (“FHLBB”). No ready market exists for these stocks, and they have no quoted market values. FRB stock is redeemable at par; therefore, fair value equals cost. The Bank, as a member of the FHLBB, is required to maintain investments in the capital stock of the FHLBB equal to their membership base investments plus an activity-based investment determined according to the Bank’s level of outstanding FHLBB advances. The Company reviews its investments in FHLBB and FRB stock periodically to determine if other-than-temporary impairment exists. The Company reviews recent public filings, rating agency analysis and other factors, when making the determination.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Sale and Loan Servicing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Residential real estate mortgage loans are designated as held for sale based on intent, which is determined when loans are underwritten. Loans originated and held for sale in the secondary market are carried at the lower of cost or fair value. Realized gains and losses on sales of loans are determined using the specific identification method. Direct loan originations costs and fees related to loans held for sale are deferred upon origination and are recognized on the date of sale.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its mortgage banking activities, the Company sells loans both on a servicing released and servicing retained basis. The Company recognizes as separate assets the rights to service mortgage loans for others, and performs an assessment of capitalized mortgage servicing rights for impairment based on the current fair value of those rights. The Company capitalizes mortgage servicing rights at their allocated cost (based on the relative fair values of the rights and the related loans) upon the sale of the related loans. Mortgage servicing rights are amortized over the estimated weighted average life of the loans. The Company’s assumptions with respect to prepayments, which affect the estimated average life of the loans, are adjusted periodically to reflect current circumstances. The Company evaluates the estimated life and fair value of its servicing portfolio based on data that is disaggregated to reflect note rate, type, and term on the underlying loans.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loans to be held for sale, the Company often offers interest rate lock commitments to prospective borrowers. The Company manages this interest rate risk by entering into offsetting forward sale agreements with third party investors for certain funded loans and loan commitments. The Company uses “best efforts” forward loan sale commitments to mitigate the risk of potential decreases in the values of loans that would result from the exercise of the derivative loan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recognized in interest income. Interest income is accrued based upon the daily principal amount outstanding except for loans on nonaccrual status.</w:t>
      </w:r>
    </w:p>
    <w:p>
      <w:pPr>
        <w:spacing w:after="0" w:line="23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All loans purchased by the Company in the secondary market by the Bank’s Loan Acquisition and Servicing Group (“LASG”) are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w:t>
      </w:r>
    </w:p>
    <w:p>
      <w:pPr>
        <w:sectPr>
          <w:pgSz w:w="11900" w:h="16867" w:orient="portrait"/>
          <w:cols w:equalWidth="0" w:num="1">
            <w:col w:w="11420"/>
          </w:cols>
          <w:pgMar w:left="240" w:top="341" w:right="239" w:bottom="0" w:gutter="0" w:footer="0" w:header="0"/>
        </w:sectPr>
      </w:pPr>
    </w:p>
    <w:bookmarkStart w:id="44" w:name="page45"/>
    <w:bookmarkEnd w:id="44"/>
    <w:p>
      <w:pPr>
        <w:ind w:right="40"/>
        <w:spacing w:after="0" w:line="259" w:lineRule="auto"/>
        <w:rPr>
          <w:sz w:val="20"/>
          <w:szCs w:val="20"/>
          <w:color w:val="auto"/>
        </w:rPr>
      </w:pPr>
      <w:r>
        <w:rPr>
          <w:rFonts w:ascii="Arial" w:cs="Arial" w:eastAsia="Arial" w:hAnsi="Arial"/>
          <w:sz w:val="18"/>
          <w:szCs w:val="18"/>
          <w:color w:val="auto"/>
        </w:rPr>
        <w:t>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declines in expected cash flows of purchased loans are recorded through a specific allocation in the allowance for loan losses.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54"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40" w:right="6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58" w:lineRule="exact"/>
        <w:rPr>
          <w:sz w:val="20"/>
          <w:szCs w:val="20"/>
          <w:color w:val="auto"/>
        </w:rPr>
      </w:pPr>
    </w:p>
    <w:p>
      <w:pPr>
        <w:ind w:left="440" w:right="300" w:firstLine="10"/>
        <w:spacing w:after="0" w:line="277"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a corresponding weakness in consumer or business spending, will have an adverse effect on the credit quality of this segment.</w:t>
      </w:r>
    </w:p>
    <w:p>
      <w:pPr>
        <w:spacing w:after="0" w:line="225" w:lineRule="exact"/>
        <w:rPr>
          <w:sz w:val="20"/>
          <w:szCs w:val="20"/>
          <w:color w:val="auto"/>
        </w:rPr>
      </w:pPr>
    </w:p>
    <w:p>
      <w:pPr>
        <w:ind w:left="440" w:right="26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40" w:right="120"/>
        <w:spacing w:after="0" w:line="271" w:lineRule="auto"/>
        <w:rPr>
          <w:sz w:val="20"/>
          <w:szCs w:val="20"/>
          <w:color w:val="auto"/>
        </w:rPr>
      </w:pPr>
      <w:r>
        <w:rPr>
          <w:rFonts w:ascii="Arial" w:cs="Arial" w:eastAsia="Arial" w:hAnsi="Arial"/>
          <w:sz w:val="17"/>
          <w:szCs w:val="17"/>
          <w:color w:val="auto"/>
        </w:rPr>
        <w:t>Purchased: Loans in this segment are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ectPr>
          <w:pgSz w:w="11900" w:h="16838" w:orient="portrait"/>
          <w:cols w:equalWidth="0" w:num="1">
            <w:col w:w="11420"/>
          </w:cols>
          <w:pgMar w:left="240" w:top="125" w:right="239" w:bottom="0" w:gutter="0" w:footer="0" w:header="0"/>
        </w:sectPr>
      </w:pPr>
    </w:p>
    <w:bookmarkStart w:id="45" w:name="page46"/>
    <w:bookmarkEnd w:id="45"/>
    <w:p>
      <w:pPr>
        <w:ind w:left="980" w:right="62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2013 or 2012.</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loans modified in troubled debt restructurings are individually reviewed for impairment.</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all portfolio segments, except the purchased loan segment,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Loan impairment of purchased loans is measured based on the decrease in expected cash flows from those estimated at acquisition, excluding changes due to decreases in interest rate indices,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Premises and Equipment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Premises and equipment are stated at cost less accumulated depreciation. Depreciation is computed by the straight-line method over the estimated useful lives of the assets. Premises and equipment under capital leases are amortized over the estimated useful lives of the assets or the respective lease terms, whichever is shorter. Maintenance and repairs are charged to expense as incurred and the cost of major renewals and betterments are capitalized.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Identifiable intangible assets subject to amortization are amortized over the estimated lives of the intangibles using a method that approximates the amount of economic benefits that are realized by the Company. Identifiable intangible assets are reviewed for impairment whenever events or changes in circumstances indicate that the carrying amount of the assets may not be recoverable.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Owned and Other Repossessed Collateral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in control of the Company or acquired through foreclosure or repossession are held for sale and are initially recorded at fair value less cost to sell at the date control is established, resulting in a new cost basis. The amount by which the recorded investment in the loan exceeds the fair value (net of estimated cost to sell) of the foreclosed asset is charged to the allowance for loan losses. Subsequent declines in the fair value of the foreclosed asset below the new cost basis are recorded through the use of a valuation allowance or through a direct write-off. Subsequent increases in the fair value may only be recorded to the extent of any previously recognized valuation allowance. Rental revenue received on foreclosed assets is included in other noninterest income, whereas operating expenses and changes in the valuation allowance relating to foreclosed assets are included in other noninterest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Company reviews long-lived assets, including premises and equipment, for impairment whenever events or changes in business circumstances indicate that the remaining useful life may warrant revision or that the carrying amount of the long-lived asset may not be fully recoverable. The Company performs undiscounted cash flow analyses to determine if impairment exists. If impairment is determined to exist, any related impairment loss is calculated based on fair value. Impairment losses on assets to be disposed of, if any, are based on the estimated proceeds to be received, less costs of disposal.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 Owned Life Insurance</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Increases in the cash surrender value of life insurance policies, as well as death benefits received net of any cash surrender value, are recorded in other noninterest income, and are not subject to income taxes. The cash surrender value of the policies not previously endorsed to participants are recorded as assets of the Company. Any amounts owed to participants relating to these policies are recorded as liabilities of the Company. The Company reviews the financial strength of the insurance carriers prior to the purchase of life insurance policies and no less than annually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ectPr>
          <w:pgSz w:w="11900" w:h="16838" w:orient="portrait"/>
          <w:cols w:equalWidth="0" w:num="1">
            <w:col w:w="11420"/>
          </w:cols>
          <w:pgMar w:left="240" w:top="125" w:right="239" w:bottom="100" w:gutter="0" w:footer="0" w:header="0"/>
        </w:sectPr>
      </w:pPr>
    </w:p>
    <w:bookmarkStart w:id="46" w:name="page47"/>
    <w:bookmarkEnd w:id="46"/>
    <w:p>
      <w:pPr>
        <w:ind w:right="80"/>
        <w:spacing w:after="0" w:line="25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Company’s policy is to recognize interest and penalties assessed on tax positions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stock-based compensation plans provide for awards of stock options, restricted stock and other stock-based compensation to directors, officers and employees. The cost of employee services received in exchange for awards of equity instruments is based on the grant-date fair value of those awards. Compensation cost is recognized over the requisite service period as a component of compensation expense. For awards with graded-vesting, compensation cost is recognized on a straight-line basis over the requisite service period for the entire award. The Company uses the Black-Scholes model to estimate the fair value of stock options, while the market price of the Company’s common stock at the date of grant is used for restricted stock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first quarter of fiscal 2012, substantially all of the assets of the Company’s insurance division, Northeast Bank Insurance Group, Inc. (“NBIG”) were sold in two separate transactions. The results of NBIG are classified as discontinued operations in the statements of income for each period presented. The Company has eliminated all intercompany transactions related to discontinued operations for each period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and losses on securities available for sale, unrealized losses related to factors other than credit on debt securities, unrealized gains and losses on cash flow hedges and deferred gains on hedge accounting transactions.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(inclusive of participating securities). Diluted earnings per share have been calculated in a manner similar to that of basic earnings per share except that the weighted average number of common shares outstanding is increased to include the number of additional common shares that would have been outstanding if all potentially dilutive common shares (such as those resulting from the exercise of stock options or the attainment of performance measures) were issued during the period, computed using the treasury stock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Derivative instruments are carried at fair value in the Company’s financial statements. The accounting for changes in the fair value of a derivative instrument is determined by whether it has been designated and qualifies as part of a hedging relationship, and further, by the type of hedging relationship. For those derivative instruments that are designated and qualify as hedging instruments, the Company designates the hedging instrument, based upon the exposure being hedged, as either a fair value hedge or a cash flow hedge. 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net of related tax, and reclassified into earnings in the same period or periods during which the hedged transactions affect earnings. The remaining gain or loss on the derivative instrument in excess of the cumulative change in the present value of future cash flows of the hedged item (i.e., the ineffective portion), if any, is recognized in current earnings during the period. For derivative instruments designated and qualifying as a fair value hedge (i.e., hedging the exposure to changes in the fair value of an asset or liability or an identified portion thereof that is attributable to the hedged risk), the gain or loss on the derivative instrument, as well as the offsetting gain or loss on the hedged item attributable to the hedged risk, are recognized in current earnings during the period of the change in fair values. For derivative instruments not designated as hedging instruments, the gain or loss on the derivative is recognized in current earnings during the period of change. At the inception of a hedge, the Company documents certain items, including but not limited to the following: the relationship between hedging instruments and hedged items, Company risk management objectives, hedging strategies, and the evaluation of hedge transaction effectiveness. Documentation includes linking all derivatives designated as fair value or cash flow hedges to specific assets and liabilities on the balance sheet or to specific forecasted transactions.</w:t>
      </w:r>
    </w:p>
    <w:p>
      <w:pPr>
        <w:spacing w:after="0" w:line="16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Hedge accounting is discontinued prospectively when (1) a derivative is no longer highly effective in offsetting changes in the fair value or cash flow of a hedged item, (2) a derivative expires or is sold, (3) a derivative is de-designated as a hedge, because it is unlikely that a forecasted transaction will occur, or (4) it is determined that designation of a derivative as a hedge is no longer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Transfer of Financial Assets</w:t>
      </w:r>
    </w:p>
    <w:p>
      <w:pPr>
        <w:spacing w:after="0" w:line="22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ectPr>
          <w:pgSz w:w="11900" w:h="16838" w:orient="portrait"/>
          <w:cols w:equalWidth="0" w:num="1">
            <w:col w:w="11400"/>
          </w:cols>
          <w:pgMar w:left="240" w:top="125" w:right="259" w:bottom="0" w:gutter="0" w:footer="0" w:header="0"/>
        </w:sectPr>
      </w:pPr>
    </w:p>
    <w:bookmarkStart w:id="47" w:name="page48"/>
    <w:bookmarkEnd w:id="47"/>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December 2011, the Financial Accounting Standards Board (“FASB”) issued ASU No. 2011-11, </w:t>
      </w:r>
      <w:r>
        <w:rPr>
          <w:rFonts w:ascii="Arial" w:cs="Arial" w:eastAsia="Arial" w:hAnsi="Arial"/>
          <w:sz w:val="18"/>
          <w:szCs w:val="18"/>
          <w:i w:val="1"/>
          <w:iCs w:val="1"/>
          <w:color w:val="auto"/>
        </w:rPr>
        <w:t>Balance Sheet (Topic 210): Disclosures about Offsetting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Liabilities </w:t>
      </w:r>
      <w:r>
        <w:rPr>
          <w:rFonts w:ascii="Arial" w:cs="Arial" w:eastAsia="Arial" w:hAnsi="Arial"/>
          <w:sz w:val="18"/>
          <w:szCs w:val="18"/>
          <w:color w:val="auto"/>
        </w:rPr>
        <w:t>(“ASU 2011-11”). The update requires entities to disclose information about offsetting and related arrangements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derivative instruments. The amendments require enhanced disclosures by requiring improved information about financial instruments and derivative instruments that are either (i) offset in accordance with current literature or (ii) subject to an enforceable master netting arrangement or similar agreement, irrespective of whether they are offset in accordance with current literature. ASU 2011-11 is effective for fiscal years, and interim periods within those years, beginning on or after January 1, 2013. The Company does not anticipate that the adoption of this guidance will have a material impact on the consolidated financial statements.</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 Presentation of Comprehensive Income</w:t>
      </w:r>
      <w:r>
        <w:rPr>
          <w:rFonts w:ascii="Arial" w:cs="Arial" w:eastAsia="Arial" w:hAnsi="Arial"/>
          <w:sz w:val="16"/>
          <w:szCs w:val="16"/>
          <w:color w:val="auto"/>
        </w:rPr>
        <w:t xml:space="preserve"> (“ASU 2011-05”)</w:t>
      </w:r>
      <w:r>
        <w:rPr>
          <w:rFonts w:ascii="Arial" w:cs="Arial" w:eastAsia="Arial" w:hAnsi="Arial"/>
          <w:sz w:val="16"/>
          <w:szCs w:val="16"/>
          <w:i w:val="1"/>
          <w:iCs w:val="1"/>
          <w:color w:val="auto"/>
        </w:rPr>
        <w:t>.</w:t>
      </w:r>
      <w:r>
        <w:rPr>
          <w:rFonts w:ascii="Arial" w:cs="Arial" w:eastAsia="Arial" w:hAnsi="Arial"/>
          <w:sz w:val="16"/>
          <w:szCs w:val="16"/>
          <w:color w:val="auto"/>
        </w:rPr>
        <w:t xml:space="preserve"> The objective of this update is to improve the comparability, consistency, and transparency of financial reporting and to increase the prominence of items reported in other comprehensive income. The amendments in this update require that all non-owner changes in stockholders’ equity be presented either in as single continuous statement of comprehensive income or in two separate but consecutive statements. The amendments are effective for interim and annual periods beginning after December 15, 2011. The adoption of this guidance did not have a material impact on the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December 2011, the FASB issued ASU No. 2011-12, </w:t>
      </w:r>
      <w:r>
        <w:rPr>
          <w:rFonts w:ascii="Arial" w:cs="Arial" w:eastAsia="Arial" w:hAnsi="Arial"/>
          <w:sz w:val="18"/>
          <w:szCs w:val="18"/>
          <w:i w:val="1"/>
          <w:iCs w:val="1"/>
          <w:color w:val="auto"/>
        </w:rPr>
        <w:t>Comprehensive Income (Topic 220): Deferral of the Effective Date for Amendments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Reclassifications of Items Out of Accumulated Other Comprehensive Income in Accounting Standards Update No. 2011-05. </w:t>
      </w:r>
      <w:r>
        <w:rPr>
          <w:rFonts w:ascii="Arial" w:cs="Arial" w:eastAsia="Arial" w:hAnsi="Arial"/>
          <w:sz w:val="18"/>
          <w:szCs w:val="18"/>
          <w:color w:val="auto"/>
        </w:rPr>
        <w:t>The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update defer those changes in ASU 2011-05 that relate to the presentation of reclassifications out of accumulated other comprehensive income on the components of net income and other comprehensive income for all periods presented. All other requirements in ASU 2011-05 are not affected by this update. The amendments are effective for interim and annual periods beginning after December 15, 2011. The adoption of this guidance did not have a material impact on the consolidated financial statements.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January 2013, the FASB issued ASU No. 2013-01, </w:t>
      </w:r>
      <w:r>
        <w:rPr>
          <w:rFonts w:ascii="Arial" w:cs="Arial" w:eastAsia="Arial" w:hAnsi="Arial"/>
          <w:sz w:val="16"/>
          <w:szCs w:val="16"/>
          <w:i w:val="1"/>
          <w:iCs w:val="1"/>
          <w:color w:val="auto"/>
        </w:rPr>
        <w:t>Balance Sheet (Topic 210): Disclosures about Offsetting Assets and Liabilities</w:t>
      </w:r>
      <w:r>
        <w:rPr>
          <w:rFonts w:ascii="Arial" w:cs="Arial" w:eastAsia="Arial" w:hAnsi="Arial"/>
          <w:sz w:val="16"/>
          <w:szCs w:val="16"/>
          <w:color w:val="auto"/>
        </w:rPr>
        <w:t xml:space="preserve"> (“ASU 2013-01). The amendments clarify that the scope of Update 2011-11 applies to derivatives accounted for in accordance with Topic 815, Derivatives and 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new standards are effective for annual periods beginning January 1, 2013 and for interim periods within those annual periods. Retrospective application is required. The Company does not anticipate that the adoption of this guidance will have a material impact on the consolidated financial statements.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Comprehensive Income (Topic 220):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2013-02”). This ASU requires entities to (1) present (either on the face of the statement where net income is presented or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the effects on the line items of net income of significant amounts reclassified out of accumulated other comprehensive income—but only if the item reclassified is required under GAAP to be reclassified to net income in its entirety in the same reporting period and (2) cross-reference to other disclosures currently required under GAAP for other reclassification items (that are not required under GAAP) to be reclassified directly to net income in their entirety in the same reporting period. This would be the case when a portion of the amount reclassified out of accumulated other comprehensive income is initially transferred to a balance sheet account instead of directly to income or expense. The new standards are effective for reporting periods beginning after December 15, 2012. The adoption of ASU No. 2013-02 did not have a material impact on the Company’s financial statements.</w:t>
      </w:r>
    </w:p>
    <w:p>
      <w:pPr>
        <w:spacing w:after="0" w:line="162"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available-for-sale at amortized cost and approximate fair values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 2013</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 2012</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jc w:val="right"/>
              <w:ind w:right="46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Amortized</w:t>
            </w:r>
          </w:p>
        </w:tc>
        <w:tc>
          <w:tcPr>
            <w:tcW w:w="400" w:type="dxa"/>
            <w:vAlign w:val="bottom"/>
          </w:tcPr>
          <w:p>
            <w:pPr>
              <w:spacing w:after="0"/>
              <w:rPr>
                <w:sz w:val="10"/>
                <w:szCs w:val="10"/>
                <w:color w:val="auto"/>
              </w:rPr>
            </w:pPr>
          </w:p>
        </w:tc>
        <w:tc>
          <w:tcPr>
            <w:tcW w:w="960" w:type="dxa"/>
            <w:vAlign w:val="bottom"/>
          </w:tcPr>
          <w:p>
            <w:pPr>
              <w:jc w:val="center"/>
              <w:ind w:right="29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6"/>
          </w:tcPr>
          <w:p>
            <w:pPr>
              <w:jc w:val="right"/>
              <w:ind w:right="1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45,289</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45,333</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45,824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45,808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78,944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76,264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86,816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87,456</w:t>
            </w:r>
          </w:p>
        </w:tc>
      </w:tr>
      <w:tr>
        <w:trPr>
          <w:trHeight w:val="210"/>
        </w:trPr>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2013, the Company held no securities of any single issuer (excluding the U. S. Government and federal agencies) with a book value that exceeded 10 percent of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gross unrealized gains and unrealized losses on available-for-sale securities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June 30, 2013</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June 30, 2012</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540" w:type="dxa"/>
            <w:vAlign w:val="bottom"/>
          </w:tcPr>
          <w:p>
            <w:pPr>
              <w:spacing w:after="0"/>
              <w:rPr>
                <w:sz w:val="10"/>
                <w:szCs w:val="10"/>
                <w:color w:val="auto"/>
              </w:rPr>
            </w:pPr>
          </w:p>
        </w:tc>
        <w:tc>
          <w:tcPr>
            <w:tcW w:w="1060" w:type="dxa"/>
            <w:vAlign w:val="bottom"/>
          </w:tcPr>
          <w:p>
            <w:pPr>
              <w:jc w:val="center"/>
              <w:ind w:left="228"/>
              <w:spacing w:after="0" w:line="119" w:lineRule="exact"/>
              <w:rPr>
                <w:sz w:val="20"/>
                <w:szCs w:val="20"/>
                <w:color w:val="auto"/>
              </w:rPr>
            </w:pPr>
            <w:r>
              <w:rPr>
                <w:rFonts w:ascii="Arial" w:cs="Arial" w:eastAsia="Arial" w:hAnsi="Arial"/>
                <w:sz w:val="13"/>
                <w:szCs w:val="13"/>
                <w:b w:val="1"/>
                <w:bCs w:val="1"/>
                <w:color w:val="auto"/>
                <w:w w:val="95"/>
              </w:rPr>
              <w:t>Gross</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221"/>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225"/>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r>
      <w:tr>
        <w:trPr>
          <w:trHeight w:val="149"/>
        </w:trPr>
        <w:tc>
          <w:tcPr>
            <w:tcW w:w="3540" w:type="dxa"/>
            <w:vAlign w:val="bottom"/>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060" w:type="dxa"/>
            <w:vAlign w:val="bottom"/>
          </w:tcPr>
          <w:p>
            <w:pPr>
              <w:jc w:val="center"/>
              <w:ind w:left="225"/>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354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60" w:type="dxa"/>
            <w:vAlign w:val="bottom"/>
          </w:tcPr>
          <w:p>
            <w:pPr>
              <w:jc w:val="center"/>
              <w:ind w:left="225"/>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5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465"/>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8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640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 following table summarizes realized gains and losses on available-for-sale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Gross realized losses</w:t>
            </w:r>
          </w:p>
        </w:tc>
        <w:tc>
          <w:tcPr>
            <w:tcW w:w="8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0"/>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897" w:orient="portrait"/>
          <w:cols w:equalWidth="0" w:num="1">
            <w:col w:w="11400"/>
          </w:cols>
          <w:pgMar w:left="240" w:top="125" w:right="259" w:bottom="0" w:gutter="0" w:footer="0" w:header="0"/>
        </w:sectPr>
      </w:pPr>
    </w:p>
    <w:bookmarkStart w:id="48" w:name="page49"/>
    <w:bookmarkEnd w:id="48"/>
    <w:p>
      <w:pPr>
        <w:ind w:right="8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2515870</wp:posOffset>
            </wp:positionH>
            <wp:positionV relativeFrom="page">
              <wp:posOffset>88900</wp:posOffset>
            </wp:positionV>
            <wp:extent cx="19208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0875" cy="8890"/>
                    </a:xfrm>
                    <a:prstGeom prst="rect">
                      <a:avLst/>
                    </a:prstGeom>
                    <a:noFill/>
                  </pic:spPr>
                </pic:pic>
              </a:graphicData>
            </a:graphic>
          </wp:anchor>
        </w:drawing>
        <w:t>At June 30, 2013, investment securities with a fair value of approximately $53.5 million were pledged as collateral to secure outstanding wholesale repurchase agreements and FHLB advances.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2"/>
              </w:rPr>
              <w:t>June 30, 2013</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7"/>
          </w:tcPr>
          <w:p>
            <w:pPr>
              <w:jc w:val="right"/>
              <w:ind w:right="66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7"/>
          </w:tcPr>
          <w:p>
            <w:pPr>
              <w:jc w:val="center"/>
              <w:ind w:right="340"/>
              <w:spacing w:after="0" w:line="142" w:lineRule="exact"/>
              <w:rPr>
                <w:sz w:val="20"/>
                <w:szCs w:val="20"/>
                <w:color w:val="auto"/>
              </w:rPr>
            </w:pPr>
            <w:r>
              <w:rPr>
                <w:rFonts w:ascii="Arial" w:cs="Arial" w:eastAsia="Arial" w:hAnsi="Arial"/>
                <w:sz w:val="14"/>
                <w:szCs w:val="14"/>
                <w:b w:val="1"/>
                <w:bCs w:val="1"/>
                <w:color w:val="auto"/>
                <w:w w:val="95"/>
              </w:rPr>
              <w:t>More than 12 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5"/>
          </w:tcPr>
          <w:p>
            <w:pPr>
              <w:jc w:val="right"/>
              <w:ind w:right="45"/>
              <w:spacing w:after="0" w:line="142" w:lineRule="exact"/>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3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r>
      <w:tr>
        <w:trPr>
          <w:trHeight w:val="171"/>
        </w:trPr>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7"/>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76,264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76,264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(2,680)</w:t>
            </w:r>
          </w:p>
        </w:tc>
      </w:tr>
      <w:tr>
        <w:trPr>
          <w:trHeight w:val="223"/>
        </w:trPr>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2"/>
              </w:rPr>
              <w:t>June 30, 2012</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7"/>
          </w:tcPr>
          <w:p>
            <w:pPr>
              <w:jc w:val="right"/>
              <w:ind w:right="66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7"/>
          </w:tcPr>
          <w:p>
            <w:pPr>
              <w:ind w:left="320"/>
              <w:spacing w:after="0" w:line="142" w:lineRule="exact"/>
              <w:rPr>
                <w:sz w:val="20"/>
                <w:szCs w:val="20"/>
                <w:color w:val="auto"/>
              </w:rPr>
            </w:pPr>
            <w:r>
              <w:rPr>
                <w:rFonts w:ascii="Arial" w:cs="Arial" w:eastAsia="Arial" w:hAnsi="Arial"/>
                <w:sz w:val="14"/>
                <w:szCs w:val="14"/>
                <w:b w:val="1"/>
                <w:bCs w:val="1"/>
                <w:color w:val="auto"/>
              </w:rPr>
              <w:t>More than 12 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5"/>
          </w:tcPr>
          <w:p>
            <w:pPr>
              <w:jc w:val="right"/>
              <w:ind w:right="5"/>
              <w:spacing w:after="0" w:line="142" w:lineRule="exact"/>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3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r>
      <w:tr>
        <w:trPr>
          <w:trHeight w:val="171"/>
        </w:trPr>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7"/>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4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7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8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year ended June 30, 2013 and 2012.</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At June 30, 2013, the Company did not have any securities in a continuous loss position for greater than twelve months. At June 30, 2013, all of the Company’s available-for-sale securities were issued or guaranteed by either government agencies or government-sponsored enterprises. The decline in fair value of the Company’s available-for-sale securities at June 30, 2013 is attributable to changes in interest rates.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June 30, 2013.</w:t>
      </w:r>
    </w:p>
    <w:p>
      <w:pPr>
        <w:spacing w:after="0" w:line="1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June 30, 2013. Actual maturities may differ from contractual maturities because borrowers may have the right to call or prepay obligations with or without call or prepayment penalties.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w:t>
            </w:r>
          </w:p>
        </w:tc>
      </w:tr>
      <w:tr>
        <w:trPr>
          <w:trHeight w:val="171"/>
        </w:trPr>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r>
      <w:tr>
        <w:trPr>
          <w:trHeight w:val="142"/>
        </w:trPr>
        <w:tc>
          <w:tcPr>
            <w:tcW w:w="3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jc w:val="right"/>
              <w:ind w:right="73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45,332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41,845</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40,622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Due after ten years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37,100</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35,643</w:t>
            </w:r>
          </w:p>
        </w:tc>
      </w:tr>
      <w:tr>
        <w:trPr>
          <w:trHeight w:val="210"/>
        </w:trPr>
        <w:tc>
          <w:tcPr>
            <w:tcW w:w="32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2013</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2012</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Originated</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Originated</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Purchased</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35,389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35,389</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42,696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42,696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264,448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180,735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29,720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13,337</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17,149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17,149</w:t>
            </w:r>
          </w:p>
        </w:tc>
      </w:tr>
      <w:tr>
        <w:trPr>
          <w:trHeight w:val="210"/>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Loans pledged as collateral with the FHLB for borrowings totaled $56.7 and $67.9 at June 30,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Loans serviced for others totaled $97.1 million and $33.8 million at June 30, 2013 and 2012,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loan losses follows:</w:t>
      </w:r>
    </w:p>
    <w:p>
      <w:pPr>
        <w:spacing w:after="0" w:line="217"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Year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6350</wp:posOffset>
            </wp:positionV>
            <wp:extent cx="59429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bookmarkStart w:id="49" w:name="page50"/>
    <w:bookmarkEnd w:id="4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Residential</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Unallocated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&amp; Industrial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w w:val="92"/>
              </w:rPr>
              <w:t>Year ended June 30, 2012</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Unallocated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&amp; Industrial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2013</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&amp; Industrial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122,497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2012</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&amp; Industrial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133,241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83,415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following table sets forth information regarding impaired loans. The recorded investment in impaired loans includes discounts or premiums from acquisition through purchase or merger. Interest income recognized includes interest received or accrued based on loan principal and contractual interest rates.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At June 30, 2013</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June 30, 2013</w:t>
            </w: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Recorded</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Unpaid</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Related</w:t>
            </w: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Average</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Investment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Allowance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5"/>
          </w:tcPr>
          <w:p>
            <w:pPr>
              <w:jc w:val="center"/>
              <w:ind w:right="7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6"/>
              </w:rPr>
              <w:t>Impaired loans without a valuation allowance: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1,279</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4" w:right="19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Originated:</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1,124</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Commercial business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3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8"/>
                <w:szCs w:val="18"/>
                <w:color w:val="auto"/>
              </w:rPr>
            </w:pPr>
          </w:p>
        </w:tc>
      </w:tr>
      <w:tr>
        <w:trPr>
          <w:trHeight w:val="210"/>
        </w:trPr>
        <w:tc>
          <w:tcPr>
            <w:tcW w:w="3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impaired loans</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3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At June 30, 2012</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b w:val="1"/>
                <w:bCs w:val="1"/>
                <w:color w:val="auto"/>
                <w:w w:val="92"/>
              </w:rPr>
              <w:t>June 30, 2012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Recorded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Unpaid</w:t>
            </w:r>
          </w:p>
        </w:tc>
        <w:tc>
          <w:tcPr>
            <w:tcW w:w="160" w:type="dxa"/>
            <w:vAlign w:val="bottom"/>
          </w:tcPr>
          <w:p>
            <w:pPr>
              <w:spacing w:after="0"/>
              <w:rPr>
                <w:sz w:val="10"/>
                <w:szCs w:val="10"/>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Income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Investment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Allowance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Recognized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5"/>
          </w:tcPr>
          <w:p>
            <w:pPr>
              <w:jc w:val="center"/>
              <w:ind w:right="7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6"/>
              </w:rPr>
              <w:t>Impaired loans without a valuation allowance: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impaired loans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13"/>
              <w:spacing w:after="0"/>
              <w:rPr>
                <w:sz w:val="20"/>
                <w:szCs w:val="20"/>
                <w:color w:val="auto"/>
              </w:rPr>
            </w:pPr>
            <w:r>
              <w:rPr>
                <w:rFonts w:ascii="Arial" w:cs="Arial" w:eastAsia="Arial" w:hAnsi="Arial"/>
                <w:sz w:val="18"/>
                <w:szCs w:val="18"/>
                <w:color w:val="auto"/>
                <w:w w:val="89"/>
              </w:rPr>
              <w:t>66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June 30, 2013</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30-59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4"/>
                <w:szCs w:val="14"/>
                <w:b w:val="1"/>
                <w:bCs w:val="1"/>
                <w:color w:val="auto"/>
                <w:w w:val="89"/>
              </w:rPr>
              <w:t>Days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87,083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89,734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35,389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99,887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100,402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29,686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615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268,590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Purchased portfolio:</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6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loans</w:t>
            </w: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June 30, 2012</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30-59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4"/>
                <w:szCs w:val="14"/>
                <w:b w:val="1"/>
                <w:bCs w:val="1"/>
                <w:color w:val="auto"/>
                <w:w w:val="89"/>
              </w:rPr>
              <w:t>Days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87,593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90,944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99,571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100,196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3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3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19,612</w:t>
            </w:r>
          </w:p>
        </w:tc>
        <w:tc>
          <w:tcPr>
            <w:tcW w:w="2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271,784</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Purchased portfolio: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1,055</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79,484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80,539</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Total loans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356,254</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purchased credit-impaired loans acquired by the LASG: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6"/>
              </w:rPr>
              <w:t>PCI Loans Acquired</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center"/>
              <w:ind w:left="418"/>
              <w:spacing w:after="0" w:line="142" w:lineRule="exact"/>
              <w:rPr>
                <w:sz w:val="20"/>
                <w:szCs w:val="20"/>
                <w:color w:val="auto"/>
              </w:rPr>
            </w:pPr>
            <w:r>
              <w:rPr>
                <w:rFonts w:ascii="Arial" w:cs="Arial" w:eastAsia="Arial" w:hAnsi="Arial"/>
                <w:sz w:val="14"/>
                <w:szCs w:val="14"/>
                <w:b w:val="1"/>
                <w:bCs w:val="1"/>
                <w:color w:val="auto"/>
                <w:w w:val="93"/>
              </w:rPr>
              <w:t>Year Ended June 30,</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center"/>
              <w:ind w:left="41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62,182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35,455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(12,942)</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(8,765)</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Accretable yield</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(19,280)</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(8,589)</w:t>
            </w:r>
          </w:p>
        </w:tc>
      </w:tr>
      <w:tr>
        <w:trPr>
          <w:trHeight w:val="210"/>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loans acquired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27761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Accretion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27761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ind w:right="2620"/>
        <w:spacing w:after="0" w:line="257" w:lineRule="auto"/>
        <w:rPr>
          <w:sz w:val="20"/>
          <w:szCs w:val="20"/>
          <w:color w:val="auto"/>
        </w:rPr>
      </w:pPr>
      <w:r>
        <w:rPr>
          <w:rFonts w:ascii="Arial" w:cs="Arial" w:eastAsia="Arial" w:hAnsi="Arial"/>
          <w:sz w:val="18"/>
          <w:szCs w:val="18"/>
          <w:color w:val="auto"/>
        </w:rPr>
        <w:t>Reclassifications from nonaccretable difference Other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27761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End balance</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4"/>
          <w:szCs w:val="14"/>
          <w:b w:val="1"/>
          <w:bCs w:val="1"/>
          <w:color w:val="auto"/>
        </w:rPr>
        <w:t>PCI Loans: Activity in 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912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jc w:val="center"/>
        <w:ind w:right="1680"/>
        <w:spacing w:after="0"/>
        <w:rPr>
          <w:sz w:val="20"/>
          <w:szCs w:val="20"/>
          <w:color w:val="auto"/>
        </w:rPr>
      </w:pPr>
      <w:r>
        <w:rPr>
          <w:rFonts w:ascii="Arial" w:cs="Arial" w:eastAsia="Arial" w:hAnsi="Arial"/>
          <w:sz w:val="14"/>
          <w:szCs w:val="14"/>
          <w:b w:val="1"/>
          <w:bCs w:val="1"/>
          <w:color w:val="auto"/>
        </w:rPr>
        <w:t>Year Ended June 30,</w:t>
      </w:r>
    </w:p>
    <w:tbl>
      <w:tblPr>
        <w:tblLayout w:type="fixed"/>
        <w:tblInd w:w="0" w:type="dxa"/>
        <w:tblCellMar>
          <w:top w:w="0" w:type="dxa"/>
          <w:left w:w="0" w:type="dxa"/>
          <w:bottom w:w="0" w:type="dxa"/>
          <w:right w:w="0" w:type="dxa"/>
        </w:tblCellMar>
      </w:tblPr>
      <w:tr>
        <w:trPr>
          <w:trHeight w:val="142"/>
        </w:trPr>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2"/>
                <w:szCs w:val="12"/>
                <w:color w:val="auto"/>
              </w:rPr>
            </w:pPr>
          </w:p>
        </w:tc>
      </w:tr>
      <w:tr>
        <w:trPr>
          <w:trHeight w:val="128"/>
        </w:trPr>
        <w:tc>
          <w:tcPr>
            <w:tcW w:w="320" w:type="dxa"/>
            <w:vAlign w:val="bottom"/>
          </w:tcPr>
          <w:p>
            <w:pPr>
              <w:spacing w:after="0"/>
              <w:rPr>
                <w:sz w:val="11"/>
                <w:szCs w:val="11"/>
                <w:color w:val="auto"/>
              </w:rPr>
            </w:pPr>
          </w:p>
        </w:tc>
        <w:tc>
          <w:tcPr>
            <w:tcW w:w="1860" w:type="dxa"/>
            <w:vAlign w:val="bottom"/>
            <w:gridSpan w:val="3"/>
          </w:tcPr>
          <w:p>
            <w:pPr>
              <w:jc w:val="right"/>
              <w:spacing w:after="0" w:line="128"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7,169</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(5,278)</w:t>
            </w:r>
          </w:p>
        </w:tc>
        <w:tc>
          <w:tcPr>
            <w:tcW w:w="5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(1,912)</w:t>
            </w:r>
          </w:p>
        </w:tc>
      </w:tr>
      <w:tr>
        <w:trPr>
          <w:trHeight w:val="216"/>
        </w:trPr>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19,280</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8,589</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1,257</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1,156</w:t>
            </w:r>
          </w:p>
        </w:tc>
        <w:tc>
          <w:tcPr>
            <w:tcW w:w="6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(5,984)</w:t>
            </w:r>
          </w:p>
        </w:tc>
        <w:tc>
          <w:tcPr>
            <w:tcW w:w="5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(664)</w:t>
            </w:r>
          </w:p>
        </w:tc>
      </w:tr>
      <w:tr>
        <w:trPr>
          <w:trHeight w:val="210"/>
        </w:trPr>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16,444</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7,169</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680"/>
          </w:cols>
          <w:pgMar w:left="240" w:top="125" w:right="19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PCI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5"/>
          </w:tcPr>
          <w:p>
            <w:pPr>
              <w:jc w:val="right"/>
              <w:ind w:right="73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48,340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30,775</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13,866</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w:t>
      </w:r>
    </w:p>
    <w:p>
      <w:pPr>
        <w:spacing w:after="0" w:line="217"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Year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4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0"/>
                <w:szCs w:val="10"/>
                <w:color w:val="auto"/>
              </w:rPr>
            </w:pPr>
          </w:p>
        </w:tc>
        <w:tc>
          <w:tcPr>
            <w:tcW w:w="136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Recorded</w:t>
            </w:r>
          </w:p>
        </w:tc>
        <w:tc>
          <w:tcPr>
            <w:tcW w:w="220" w:type="dxa"/>
            <w:vAlign w:val="bottom"/>
          </w:tcPr>
          <w:p>
            <w:pPr>
              <w:spacing w:after="0"/>
              <w:rPr>
                <w:sz w:val="10"/>
                <w:szCs w:val="10"/>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34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Pre-Modification</w:t>
            </w:r>
          </w:p>
        </w:tc>
        <w:tc>
          <w:tcPr>
            <w:tcW w:w="1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Post-Modification</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Consumer</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8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 during the first quarter of fiscal 2013, the Company identified approximately $1.1 million of residential and consumer loans for which the borrower’s obligation had been discharged in bankruptcy in a prior period. Under recent regulatory guidance, these loans are required to be classified as TDRs and are considered collateral dependent impaired loans.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ectPr>
          <w:pgSz w:w="11900" w:h="16838" w:orient="portrait"/>
          <w:cols w:equalWidth="0" w:num="1">
            <w:col w:w="11460"/>
          </w:cols>
          <w:pgMar w:left="240" w:top="125" w:right="199" w:bottom="0" w:gutter="0" w:footer="0" w:header="0"/>
          <w:type w:val="continuous"/>
        </w:sectPr>
      </w:pPr>
    </w:p>
    <w:bookmarkStart w:id="52" w:name="page53"/>
    <w:bookmarkEnd w:id="52"/>
    <w:p>
      <w:pPr>
        <w:spacing w:after="0" w:line="19"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3320" w:type="dxa"/>
            <w:vAlign w:val="bottom"/>
          </w:tcPr>
          <w:p>
            <w:pPr>
              <w:spacing w:after="0"/>
              <w:rPr>
                <w:sz w:val="10"/>
                <w:szCs w:val="10"/>
                <w:color w:val="auto"/>
              </w:rPr>
            </w:pPr>
          </w:p>
        </w:tc>
        <w:tc>
          <w:tcPr>
            <w:tcW w:w="16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160" w:type="dxa"/>
            <w:vAlign w:val="bottom"/>
          </w:tcPr>
          <w:p>
            <w:pPr>
              <w:jc w:val="center"/>
              <w:ind w:right="156"/>
              <w:spacing w:after="0" w:line="119" w:lineRule="exact"/>
              <w:rPr>
                <w:sz w:val="20"/>
                <w:szCs w:val="20"/>
                <w:color w:val="auto"/>
              </w:rPr>
            </w:pPr>
            <w:r>
              <w:rPr>
                <w:rFonts w:ascii="Arial" w:cs="Arial" w:eastAsia="Arial" w:hAnsi="Arial"/>
                <w:sz w:val="13"/>
                <w:szCs w:val="13"/>
                <w:b w:val="1"/>
                <w:bCs w:val="1"/>
                <w:color w:val="auto"/>
                <w:w w:val="99"/>
              </w:rPr>
              <w:t>Recorded</w:t>
            </w:r>
          </w:p>
        </w:tc>
        <w:tc>
          <w:tcPr>
            <w:tcW w:w="280" w:type="dxa"/>
            <w:vAlign w:val="bottom"/>
          </w:tcPr>
          <w:p>
            <w:pPr>
              <w:spacing w:after="0"/>
              <w:rPr>
                <w:sz w:val="10"/>
                <w:szCs w:val="10"/>
                <w:color w:val="auto"/>
              </w:rPr>
            </w:pPr>
          </w:p>
        </w:tc>
        <w:tc>
          <w:tcPr>
            <w:tcW w:w="1080" w:type="dxa"/>
            <w:vAlign w:val="bottom"/>
          </w:tcPr>
          <w:p>
            <w:pPr>
              <w:jc w:val="center"/>
              <w:ind w:left="191"/>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0"/>
                <w:szCs w:val="10"/>
                <w:color w:val="auto"/>
              </w:rPr>
            </w:pPr>
          </w:p>
        </w:tc>
      </w:tr>
      <w:tr>
        <w:trPr>
          <w:trHeight w:val="171"/>
        </w:trPr>
        <w:tc>
          <w:tcPr>
            <w:tcW w:w="33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Contracts</w:t>
            </w: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tcPr>
          <w:p>
            <w:pPr>
              <w:jc w:val="center"/>
              <w:ind w:left="191"/>
              <w:spacing w:after="0"/>
              <w:rPr>
                <w:sz w:val="20"/>
                <w:szCs w:val="20"/>
                <w:color w:val="auto"/>
              </w:rPr>
            </w:pPr>
            <w:r>
              <w:rPr>
                <w:rFonts w:ascii="Arial" w:cs="Arial" w:eastAsia="Arial" w:hAnsi="Arial"/>
                <w:sz w:val="14"/>
                <w:szCs w:val="14"/>
                <w:b w:val="1"/>
                <w:bCs w:val="1"/>
                <w:color w:val="auto"/>
                <w:w w:val="94"/>
              </w:rPr>
              <w:t>Contracts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Investment</w:t>
            </w:r>
          </w:p>
        </w:tc>
      </w:tr>
      <w:tr>
        <w:trPr>
          <w:trHeight w:val="142"/>
        </w:trPr>
        <w:tc>
          <w:tcPr>
            <w:tcW w:w="33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Principal deferment</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Protective advance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Court ordered concession</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33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280" w:type="dxa"/>
            <w:vAlign w:val="bottom"/>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defaults of loans previously modified in a TDR during the years ended June 30, 2013 or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there were no further commitments to lend associated with loans modified in a TDR.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total TDRs as of the dates indicated.</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2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22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0" w:type="dxa"/>
            <w:vAlign w:val="bottom"/>
            <w:tcBorders>
              <w:top w:val="single" w:sz="8" w:color="auto"/>
            </w:tcBorders>
            <w:gridSpan w:val="4"/>
          </w:tcPr>
          <w:p>
            <w:pPr>
              <w:jc w:val="right"/>
              <w:ind w:right="347"/>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22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1,110</w:t>
            </w:r>
          </w:p>
        </w:tc>
        <w:tc>
          <w:tcPr>
            <w:tcW w:w="122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r>
      <w:tr>
        <w:trPr>
          <w:trHeight w:val="216"/>
        </w:trPr>
        <w:tc>
          <w:tcPr>
            <w:tcW w:w="2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Accrual</w:t>
            </w:r>
          </w:p>
        </w:tc>
        <w:tc>
          <w:tcPr>
            <w:tcW w:w="13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2,632</w:t>
            </w: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1,165</w:t>
            </w:r>
          </w:p>
        </w:tc>
        <w:tc>
          <w:tcPr>
            <w:tcW w:w="100" w:type="dxa"/>
            <w:vAlign w:val="bottom"/>
            <w:tcBorders>
              <w:bottom w:val="single" w:sz="8" w:color="CCEEFF"/>
            </w:tcBorders>
          </w:tcPr>
          <w:p>
            <w:pPr>
              <w:spacing w:after="0"/>
              <w:rPr>
                <w:sz w:val="18"/>
                <w:szCs w:val="18"/>
                <w:color w:val="auto"/>
              </w:rPr>
            </w:pPr>
          </w:p>
        </w:tc>
      </w:tr>
      <w:tr>
        <w:trPr>
          <w:trHeight w:val="210"/>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TDRs</w:t>
            </w:r>
          </w:p>
        </w:tc>
        <w:tc>
          <w:tcPr>
            <w:tcW w:w="1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3,742</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 Indicators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utilizes a ten-point internal loan rating system for its purchased loan portfolio and originated commercial real estate, construction and commercial business loans as follows: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 defined weakness or weaknesses that jeopardize the orderly liquidation of the debt.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On an annual basis, or more often if needed, the Company formally reviews the ratings of all commercial real estate, construction, and commercial business loans.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commercial loans by risk rating.</w:t>
      </w:r>
    </w:p>
    <w:p>
      <w:pPr>
        <w:sectPr>
          <w:pgSz w:w="11900" w:h="16857"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Loans rated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Loans rated 10</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June 30, 2013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5"/>
              </w:rPr>
              <w:t>Originated Portfolio</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Commercial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Construction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Commercial</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Purchased Portfolio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Real Estate</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5"/>
              </w:rPr>
              <w:t>and Industrial</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gridSpan w:val="6"/>
          </w:tcPr>
          <w:p>
            <w:pPr>
              <w:ind w:left="720"/>
              <w:spacing w:after="0" w:line="128"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95,834</w:t>
            </w:r>
          </w:p>
        </w:tc>
        <w:tc>
          <w:tcPr>
            <w:tcW w:w="260" w:type="dxa"/>
            <w:vAlign w:val="bottom"/>
          </w:tcPr>
          <w:p>
            <w:pPr>
              <w:spacing w:after="0"/>
              <w:rPr>
                <w:sz w:val="18"/>
                <w:szCs w:val="18"/>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1000"/>
              <w:spacing w:after="0"/>
              <w:rPr>
                <w:sz w:val="20"/>
                <w:szCs w:val="20"/>
                <w:color w:val="auto"/>
              </w:rPr>
            </w:pPr>
            <w:r>
              <w:rPr>
                <w:rFonts w:ascii="Arial" w:cs="Arial" w:eastAsia="Arial" w:hAnsi="Arial"/>
                <w:sz w:val="18"/>
                <w:szCs w:val="18"/>
                <w:color w:val="auto"/>
                <w:w w:val="79"/>
              </w:rPr>
              <w:t>42</w:t>
            </w:r>
          </w:p>
        </w:tc>
        <w:tc>
          <w:tcPr>
            <w:tcW w:w="2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29,340</w:t>
            </w:r>
          </w:p>
        </w:tc>
        <w:tc>
          <w:tcPr>
            <w:tcW w:w="2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100,402</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79"/>
              </w:rPr>
              <w:t>42</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rPr>
              <w:t>June 30, 2012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Originated Portfolio</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Commercial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Commercial</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Purchased Portfolio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Real Estate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and Industrial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gridSpan w:val="6"/>
          </w:tcPr>
          <w:p>
            <w:pPr>
              <w:ind w:left="720"/>
              <w:spacing w:after="0" w:line="128"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96,963</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1,187</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18,223</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1,886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-2108835</wp:posOffset>
            </wp:positionV>
            <wp:extent cx="651764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-1834515</wp:posOffset>
            </wp:positionV>
            <wp:extent cx="651764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-1560195</wp:posOffset>
            </wp:positionV>
            <wp:extent cx="651764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-694055</wp:posOffset>
            </wp:positionV>
            <wp:extent cx="651764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-419735</wp:posOffset>
            </wp:positionV>
            <wp:extent cx="651764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-145415</wp:posOffset>
            </wp:positionV>
            <wp:extent cx="651764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57" w:orient="portrait"/>
          <w:cols w:equalWidth="0" w:num="2">
            <w:col w:w="2960" w:space="720"/>
            <w:col w:w="7720"/>
          </w:cols>
          <w:pgMar w:left="240" w:top="118" w:right="259" w:bottom="0" w:gutter="0" w:footer="0" w:header="0"/>
          <w:type w:val="continuous"/>
        </w:sectPr>
      </w:pPr>
    </w:p>
    <w:bookmarkStart w:id="53" w:name="page54"/>
    <w:bookmarkEnd w:id="53"/>
    <w:p>
      <w:pPr>
        <w:ind w:left="3680"/>
        <w:spacing w:after="0"/>
        <w:tabs>
          <w:tab w:leader="none" w:pos="4460" w:val="left"/>
          <w:tab w:leader="none" w:pos="5340" w:val="left"/>
          <w:tab w:leader="none" w:pos="6300" w:val="left"/>
          <w:tab w:leader="none" w:pos="6980" w:val="left"/>
          <w:tab w:leader="none" w:pos="7840" w:val="left"/>
          <w:tab w:leader="none" w:pos="86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100,196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1,187</w:t>
        <w:tab/>
        <w:t>$</w:t>
      </w:r>
      <w:r>
        <w:rPr>
          <w:sz w:val="20"/>
          <w:szCs w:val="20"/>
          <w:color w:val="auto"/>
        </w:rPr>
        <w:tab/>
      </w:r>
      <w:r>
        <w:rPr>
          <w:rFonts w:ascii="Arial" w:cs="Arial" w:eastAsia="Arial" w:hAnsi="Arial"/>
          <w:sz w:val="18"/>
          <w:szCs w:val="18"/>
          <w:color w:val="auto"/>
        </w:rPr>
        <w:t>19,612</w:t>
        <w:tab/>
        <w:t>$</w:t>
      </w:r>
      <w:r>
        <w:rPr>
          <w:sz w:val="20"/>
          <w:szCs w:val="20"/>
          <w:color w:val="auto"/>
        </w:rPr>
        <w:tab/>
      </w:r>
      <w:r>
        <w:rPr>
          <w:rFonts w:ascii="Arial" w:cs="Arial" w:eastAsia="Arial" w:hAnsi="Arial"/>
          <w:sz w:val="16"/>
          <w:szCs w:val="16"/>
          <w:color w:val="auto"/>
        </w:rPr>
        <w:t>84,470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411670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16705" cy="26035"/>
                    </a:xfrm>
                    <a:prstGeom prst="rect">
                      <a:avLst/>
                    </a:prstGeom>
                    <a:noFill/>
                  </pic:spPr>
                </pic:pic>
              </a:graphicData>
            </a:graphic>
          </wp:anchor>
        </w:drawing>
      </w:r>
    </w:p>
    <w:p>
      <w:pPr>
        <w:spacing w:after="0" w:line="12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consists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 2013</w:t>
            </w:r>
          </w:p>
        </w:tc>
        <w:tc>
          <w:tcPr>
            <w:tcW w:w="20" w:type="dxa"/>
            <w:vAlign w:val="bottom"/>
          </w:tcPr>
          <w:p>
            <w:pPr>
              <w:spacing w:after="0"/>
              <w:rPr>
                <w:sz w:val="14"/>
                <w:szCs w:val="14"/>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 2012</w:t>
            </w:r>
          </w:p>
        </w:tc>
        <w:tc>
          <w:tcPr>
            <w:tcW w:w="3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Estimated Useful Life</w:t>
            </w:r>
          </w:p>
        </w:tc>
      </w:tr>
      <w:tr>
        <w:trPr>
          <w:trHeight w:val="142"/>
        </w:trPr>
        <w:tc>
          <w:tcPr>
            <w:tcW w:w="3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w:t>
            </w:r>
          </w:p>
        </w:tc>
        <w:tc>
          <w:tcPr>
            <w:tcW w:w="5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3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Buildings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2,120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2,120</w:t>
            </w:r>
          </w:p>
        </w:tc>
        <w:tc>
          <w:tcPr>
            <w:tcW w:w="300" w:type="dxa"/>
            <w:vAlign w:val="bottom"/>
          </w:tcPr>
          <w:p>
            <w:pPr>
              <w:spacing w:after="0"/>
              <w:rPr>
                <w:sz w:val="18"/>
                <w:szCs w:val="18"/>
                <w:color w:val="auto"/>
              </w:rPr>
            </w:pPr>
          </w:p>
        </w:tc>
        <w:tc>
          <w:tcPr>
            <w:tcW w:w="2940" w:type="dxa"/>
            <w:vAlign w:val="bottom"/>
          </w:tcPr>
          <w:p>
            <w:pPr>
              <w:jc w:val="right"/>
              <w:ind w:right="1295"/>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Assets recorded under capital lease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Term of lease</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Leasehold and building improvements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940</w:t>
            </w: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5-39 (or term of lease, if shorter)</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30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275"/>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11,029</w:t>
            </w:r>
          </w:p>
        </w:tc>
        <w:tc>
          <w:tcPr>
            <w:tcW w:w="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3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color w:val="auto"/>
              </w:rPr>
              <w:t>Net premises and equipment</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9,205</w:t>
            </w:r>
          </w:p>
        </w:tc>
        <w:tc>
          <w:tcPr>
            <w:tcW w:w="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and amortization of premises and equipment included in occupancy and equipment expense was $1.7 million for the year ended June 30, 2013 and $1.3 million for the year ended June 30, 2012.</w:t>
      </w:r>
    </w:p>
    <w:p>
      <w:pPr>
        <w:spacing w:after="0" w:line="4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0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At June 30, 2013 and 2012, intangible assets consisted of a core deposit intangible. During the year ended June 30, 2012, intangible assets consisting of customer lists and non-compete agreements were included in the sale of the assets of the Company’s insurance division. The Company’s core deposit intangible is being amortized on an accelerated basis over 9.5 years.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intangible assets follow: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Identifiable Intangibles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Core</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Deposit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Identifiable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Intangible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Intangibles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Intangibles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1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5,685</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7,448</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sold or disposed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Balance, June 30, 2012</w:t>
            </w: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Assets sold or disposed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identifiable intangible assets follow at June 30: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Gross carrying amount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6,348</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(2,804)</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(1,861)</w:t>
            </w:r>
          </w:p>
        </w:tc>
      </w:tr>
      <w:tr>
        <w:trPr>
          <w:trHeight w:val="210"/>
        </w:trPr>
        <w:tc>
          <w:tcPr>
            <w:tcW w:w="45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amortization expense associated with intangible assets follows for the fiscal years ending June 30 (dollars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w:t>
            </w:r>
          </w:p>
        </w:tc>
        <w:tc>
          <w:tcPr>
            <w:tcW w:w="560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56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560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56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560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867</w:t>
            </w:r>
          </w:p>
        </w:tc>
        <w:tc>
          <w:tcPr>
            <w:tcW w:w="5600" w:type="dxa"/>
            <w:vAlign w:val="bottom"/>
          </w:tcPr>
          <w:p>
            <w:pPr>
              <w:spacing w:after="0"/>
              <w:rPr>
                <w:sz w:val="18"/>
                <w:szCs w:val="18"/>
                <w:color w:val="auto"/>
              </w:rPr>
            </w:pPr>
          </w:p>
        </w:tc>
      </w:tr>
      <w:tr>
        <w:trPr>
          <w:trHeight w:val="210"/>
        </w:trPr>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91"/>
        </w:trPr>
        <w:tc>
          <w:tcPr>
            <w:tcW w:w="4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5600" w:type="dxa"/>
            <w:vAlign w:val="bottom"/>
          </w:tcPr>
          <w:p>
            <w:pPr>
              <w:spacing w:after="0"/>
              <w:rPr>
                <w:sz w:val="24"/>
                <w:szCs w:val="24"/>
                <w:color w:val="auto"/>
              </w:rPr>
            </w:pPr>
          </w:p>
        </w:tc>
      </w:tr>
      <w:tr>
        <w:trPr>
          <w:trHeight w:val="132"/>
        </w:trPr>
        <w:tc>
          <w:tcPr>
            <w:tcW w:w="43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6.</w:t>
            </w: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4500" w:type="dxa"/>
            <w:vAlign w:val="bottom"/>
            <w:gridSpan w:val="3"/>
          </w:tcPr>
          <w:p>
            <w:pPr>
              <w:spacing w:after="0"/>
              <w:rPr>
                <w:sz w:val="20"/>
                <w:szCs w:val="20"/>
                <w:color w:val="auto"/>
              </w:rPr>
            </w:pPr>
            <w:r>
              <w:rPr>
                <w:rFonts w:ascii="Arial" w:cs="Arial" w:eastAsia="Arial" w:hAnsi="Arial"/>
                <w:sz w:val="18"/>
                <w:szCs w:val="18"/>
                <w:color w:val="auto"/>
              </w:rPr>
              <w:t>The composition of deposits at June 30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24"/>
                <w:szCs w:val="24"/>
                <w:color w:val="auto"/>
              </w:rPr>
            </w:pPr>
          </w:p>
        </w:tc>
      </w:tr>
      <w:tr>
        <w:trPr>
          <w:trHeight w:val="142"/>
        </w:trPr>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Demand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46,425</w:t>
            </w:r>
          </w:p>
        </w:tc>
        <w:tc>
          <w:tcPr>
            <w:tcW w:w="6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NOW</w:t>
            </w:r>
          </w:p>
        </w:tc>
        <w:tc>
          <w:tcPr>
            <w:tcW w:w="6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57,334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57,477</w:t>
            </w: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84,416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45,024</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Regular savings</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33,636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32,727</w:t>
            </w: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Time certificates of less than $100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99,373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100,292</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Other time certificates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141,345</w:t>
            </w:r>
          </w:p>
        </w:tc>
      </w:tr>
      <w:tr>
        <w:trPr>
          <w:trHeight w:val="210"/>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time certificates at June 30, 2013 by fiscal year follow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w w:val="84"/>
              </w:rPr>
              <w:t>2014</w:t>
            </w:r>
          </w:p>
        </w:tc>
        <w:tc>
          <w:tcPr>
            <w:tcW w:w="2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103,557</w:t>
            </w:r>
          </w:p>
        </w:tc>
      </w:tr>
      <w:tr>
        <w:trPr>
          <w:trHeight w:val="216"/>
        </w:trPr>
        <w:tc>
          <w:tcPr>
            <w:tcW w:w="2420" w:type="dxa"/>
            <w:vAlign w:val="bottom"/>
          </w:tcPr>
          <w:p>
            <w:pPr>
              <w:jc w:val="right"/>
              <w:ind w:right="1970"/>
              <w:spacing w:after="0"/>
              <w:rPr>
                <w:sz w:val="20"/>
                <w:szCs w:val="20"/>
                <w:color w:val="auto"/>
              </w:rPr>
            </w:pPr>
            <w:r>
              <w:rPr>
                <w:rFonts w:ascii="Arial" w:cs="Arial" w:eastAsia="Arial" w:hAnsi="Arial"/>
                <w:sz w:val="18"/>
                <w:szCs w:val="18"/>
                <w:color w:val="auto"/>
                <w:w w:val="84"/>
              </w:rPr>
              <w:t>2015</w:t>
            </w:r>
          </w:p>
        </w:tc>
        <w:tc>
          <w:tcPr>
            <w:tcW w:w="24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59,172</w:t>
            </w:r>
          </w:p>
        </w:tc>
      </w:tr>
      <w:tr>
        <w:trPr>
          <w:trHeight w:val="216"/>
        </w:trPr>
        <w:tc>
          <w:tcPr>
            <w:tcW w:w="242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w w:val="84"/>
              </w:rPr>
              <w:t>2016</w:t>
            </w:r>
          </w:p>
        </w:tc>
        <w:tc>
          <w:tcPr>
            <w:tcW w:w="2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48,218</w:t>
            </w:r>
          </w:p>
        </w:tc>
      </w:tr>
    </w:tbl>
    <w:p>
      <w:pPr>
        <w:sectPr>
          <w:pgSz w:w="11900" w:h="16838" w:orient="portrait"/>
          <w:cols w:equalWidth="0" w:num="1">
            <w:col w:w="11460"/>
          </w:cols>
          <w:pgMar w:left="240" w:top="125" w:right="19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15,139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32,586</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4,140</w:t>
            </w:r>
          </w:p>
        </w:tc>
      </w:tr>
      <w:tr>
        <w:trPr>
          <w:trHeight w:val="210"/>
        </w:trPr>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fixed-rate long term advances from the Federal Home Loan Bank of Boston as of June 30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4"/>
                <w:szCs w:val="14"/>
                <w:color w:val="auto"/>
              </w:rPr>
            </w:pPr>
          </w:p>
        </w:tc>
        <w:tc>
          <w:tcPr>
            <w:tcW w:w="242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Unpaid Principal Balance</w:t>
            </w:r>
          </w:p>
        </w:tc>
        <w:tc>
          <w:tcPr>
            <w:tcW w:w="260" w:type="dxa"/>
            <w:vAlign w:val="bottom"/>
          </w:tcPr>
          <w:p>
            <w:pPr>
              <w:spacing w:after="0"/>
              <w:rPr>
                <w:sz w:val="14"/>
                <w:szCs w:val="14"/>
                <w:color w:val="auto"/>
              </w:rPr>
            </w:pPr>
          </w:p>
        </w:tc>
        <w:tc>
          <w:tcPr>
            <w:tcW w:w="246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Carrying Amount</w:t>
            </w:r>
          </w:p>
        </w:tc>
        <w:tc>
          <w:tcPr>
            <w:tcW w:w="270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Weighted Average Cost</w:t>
            </w: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By Fiscal</w:t>
            </w:r>
          </w:p>
        </w:tc>
        <w:tc>
          <w:tcPr>
            <w:tcW w:w="26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Year</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15,194</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1960" w:type="dxa"/>
            <w:vAlign w:val="bottom"/>
          </w:tcPr>
          <w:p>
            <w:pPr>
              <w:jc w:val="right"/>
              <w:ind w:right="716"/>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12,626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1960" w:type="dxa"/>
            <w:vAlign w:val="bottom"/>
          </w:tcPr>
          <w:p>
            <w:pPr>
              <w:jc w:val="right"/>
              <w:ind w:right="716"/>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10,296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1960" w:type="dxa"/>
            <w:vAlign w:val="bottom"/>
          </w:tcPr>
          <w:p>
            <w:pPr>
              <w:jc w:val="right"/>
              <w:ind w:right="716"/>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5,118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5,146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3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June 30, 2013, FHLB advances with unpaid principal of $10.0 million were subject to call provisions and may be called prior to the stated maturity.</w:t>
      </w:r>
    </w:p>
    <w:p>
      <w:pPr>
        <w:spacing w:after="0" w:line="2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Certain mortgage loans, free of liens, pledges and encumbrances and certain investment securities maintained at the FHLB not otherwise pledged have been pledged under a blanket agreement to secure these advances. The Company is required to own stock in the Federal Home Loan Bank of Boston in order to borrow from the FHLB.</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June 30, 2013, the Company had a $2.1 million line of credit arrangement with the FHLB which was fully available. Also at June 30, 2013, the Company had approximately $44.0 million of additional capacity to borrow from the FHLB.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Wholesale Repurchase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wholesale repurchase agreements as of June 30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4"/>
                <w:szCs w:val="14"/>
                <w:color w:val="auto"/>
              </w:rPr>
            </w:pPr>
          </w:p>
        </w:tc>
        <w:tc>
          <w:tcPr>
            <w:tcW w:w="232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Unpaid Principal Balance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Carrying Amount</w:t>
            </w:r>
          </w:p>
        </w:tc>
        <w:tc>
          <w:tcPr>
            <w:tcW w:w="270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Weighted Average Cost</w:t>
            </w: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By Fiscal</w:t>
            </w:r>
          </w:p>
        </w:tc>
        <w:tc>
          <w:tcPr>
            <w:tcW w:w="26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vMerge w:val="continue"/>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Year</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40,302</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1980" w:type="dxa"/>
            <w:vAlign w:val="bottom"/>
          </w:tcPr>
          <w:p>
            <w:pPr>
              <w:jc w:val="right"/>
              <w:ind w:right="718"/>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15,035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80" w:type="dxa"/>
            <w:vAlign w:val="bottom"/>
          </w:tcPr>
          <w:p>
            <w:pPr>
              <w:jc w:val="right"/>
              <w:ind w:right="718"/>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0"/>
        </w:trPr>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3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2013, $10.0 million of wholesale repurchase agreements maturing in fiscal 2016 are callable on a quarterly basis.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is subject to margin calls on each transaction to maintain the necessary collateral in the form of cash or other mortgage-backed securities during the borrowing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Lease Obligation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fiscal 2006, the Company recognized a capital lease obligation for its Lewiston, Maine, headquarters. The present value of the lease payments over fifteen years exceeded 90% of the fair value of the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future minimum lease payments over the remaining term of the lease and the outstanding capital lease obligation at June 30, 2013 are as follows for years ending June 30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16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2015</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2019 and thereafter</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Imputed interest</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Borrowings</w:t>
      </w:r>
    </w:p>
    <w:p>
      <w:pPr>
        <w:sectPr>
          <w:pgSz w:w="11900" w:h="16838" w:orient="portrait"/>
          <w:cols w:equalWidth="0" w:num="1">
            <w:col w:w="11400"/>
          </w:cols>
          <w:pgMar w:left="240" w:top="125" w:right="259" w:bottom="140" w:gutter="0" w:footer="0" w:header="0"/>
        </w:sectPr>
      </w:pPr>
    </w:p>
    <w:bookmarkStart w:id="55" w:name="page56"/>
    <w:bookmarkEnd w:id="55"/>
    <w:p>
      <w:pPr>
        <w:ind w:right="320"/>
        <w:spacing w:after="0" w:line="259" w:lineRule="auto"/>
        <w:rPr>
          <w:sz w:val="20"/>
          <w:szCs w:val="20"/>
          <w:color w:val="auto"/>
        </w:rPr>
      </w:pPr>
      <w:r>
        <w:rPr>
          <w:rFonts w:ascii="Arial" w:cs="Arial" w:eastAsia="Arial" w:hAnsi="Arial"/>
          <w:sz w:val="18"/>
          <w:szCs w:val="18"/>
          <w:color w:val="auto"/>
        </w:rPr>
        <w:t>Short-term borrowings are sweep accounts, which are a demand account product that moves balances in excess of an agreed upon target amount from a demand deposit account into an interest-bearing account overnight. The sweep account is collateralized with a letter of credit issued by the FHLBB. The Company ceased offering securities sold under agreements to repurchase in fiscal 2011. The weighted average interest rate on short-term borrowings was 0.00% and 2.00% at June 30, 2013 and 2012, respectively.</w:t>
      </w:r>
    </w:p>
    <w:p>
      <w:pPr>
        <w:spacing w:after="0" w:line="183"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Junior Subordinated Debentures Issued to Affiliated Trusts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NBN Capital Trust II and NBN Capital Trust III were created in December 2003. NBN Capital Trust IV was created in December 2004. Each such trust is a Delaware statutory trust (together, the “Private Trusts”). The exclusive purpose of the Private Trusts was (i) issuing and selling common securities and preferred securities in a private placement offering (the “Private Trust Securities”), (ii) using the proceeds of the sale of the Private Trust Securities to acquire Junior Subordinated Deferrable Interest Notes (“Junior Subordinated Debentures”); and (iii) engaging only in those other activities necessary, convenient or incidental thereto. Accordingly, the Junior Subordinated Debentures are the sole assets of each of the Private Trusts.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table summarizes the Junior Subordinated Debentures issued by the Company to each affiliated trust and the Private Trust Securities issued by each affiliated trust at June 30, 2013. Amounts include the junior subordinated debentures acquired by the affiliated trusts from the Company with the capital contributed by the Company in exchange for the common securities of such trust, which were $93 thousand each for NBN Capital Trust II and III and $310 thousand for NBN Capital Trust IV. The trust preferred securities (the “Preferred Securities”) were sold in two separate private placement offerings. The Company has the right to redeem the Junior Subordinated Debentures, in whole or in part, on or after March 30, 2009, for NBN Capital Trust II and III, and on or after February 23, 2010, for NBN Capital Trust IV, at the redemption price specified in the associated Indenture, plus accrued but unpaid interest to the redemption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4"/>
                <w:szCs w:val="1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Unpaid Principal Balance</w:t>
            </w:r>
          </w:p>
        </w:tc>
        <w:tc>
          <w:tcPr>
            <w:tcW w:w="7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Carrying Amount</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20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Date</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jc w:val="right"/>
              <w:ind w:right="126"/>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8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6"/>
              </w:rPr>
              <w:t>NBN Capital Trust II</w:t>
            </w:r>
          </w:p>
        </w:tc>
        <w:tc>
          <w:tcPr>
            <w:tcW w:w="2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March 30, 2034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3,093</w:t>
            </w:r>
          </w:p>
        </w:tc>
        <w:tc>
          <w:tcPr>
            <w:tcW w:w="70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1,775</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jc w:val="center"/>
              <w:ind w:right="210"/>
              <w:spacing w:after="0"/>
              <w:rPr>
                <w:sz w:val="20"/>
                <w:szCs w:val="20"/>
                <w:color w:val="auto"/>
              </w:rPr>
            </w:pPr>
            <w:r>
              <w:rPr>
                <w:rFonts w:ascii="Arial" w:cs="Arial" w:eastAsia="Arial" w:hAnsi="Arial"/>
                <w:sz w:val="18"/>
                <w:szCs w:val="18"/>
                <w:color w:val="auto"/>
                <w:w w:val="95"/>
              </w:rPr>
              <w:t>NBN Capital Trust III</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March 30, 2034</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3,093</w:t>
            </w:r>
          </w:p>
        </w:tc>
        <w:tc>
          <w:tcPr>
            <w:tcW w:w="7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1,775</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4"/>
              </w:rPr>
              <w:t>NBN Capital Trust IV</w:t>
            </w:r>
          </w:p>
        </w:tc>
        <w:tc>
          <w:tcPr>
            <w:tcW w:w="2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February 23, 2035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10,310</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4,718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4,612</w:t>
            </w:r>
          </w:p>
        </w:tc>
        <w:tc>
          <w:tcPr>
            <w:tcW w:w="80" w:type="dxa"/>
            <w:vAlign w:val="bottom"/>
            <w:shd w:val="clear" w:color="auto" w:fill="CCEEFF"/>
          </w:tcPr>
          <w:p>
            <w:pPr>
              <w:spacing w:after="0"/>
              <w:rPr>
                <w:sz w:val="18"/>
                <w:szCs w:val="18"/>
                <w:color w:val="auto"/>
              </w:rPr>
            </w:pPr>
          </w:p>
        </w:tc>
      </w:tr>
      <w:tr>
        <w:trPr>
          <w:trHeight w:val="210"/>
        </w:trPr>
        <w:tc>
          <w:tcPr>
            <w:tcW w:w="2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16,496</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8,268</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NBN Capital Trust II and III pay a variable rate based on three month LIBOR plus 2.80%, and NBN Capital Trust IV pays a variable rate based on three month LIBOR plus 1.89%. Accordingly, the Preferred Securities of the Private Trusts currently pay quarterly distributions at an annual rate of 3.26% for the stated liquidation amount of $1,000 per Preferred Security for NBN Capital Trust II and III and an annual rate of 2.36% for the stated liquidation amount of $1,000 per Preferred Security for NBN Capital Trust IV. The Company has fully and unconditionally guaranteed all of the obligations of each trust. The guaranty covers the quarterly distributions and payments on liquidation or redemption of the Private Trust Securities, but only to the extent of funds held by the trusts.</w:t>
      </w:r>
    </w:p>
    <w:p>
      <w:pPr>
        <w:spacing w:after="0" w:line="1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Junior Subordinated Debentures each have variable rates indexed to three-month LIBOR. During the fiscal year ended June 30, 2010, the Company purchased two interest rate caps and an interest rate swap to hedge the interest rate risk on notional amounts of $6 million and $10 million, respectively, of the Company’s Junior Subordinated Debentures. Each was a cash flow hedge to manage the risk to net interest income in a period of rising rates.</w:t>
      </w:r>
    </w:p>
    <w:p>
      <w:pPr>
        <w:spacing w:after="0" w:line="14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interest rate caps hedge the junior subordinated debt resulting from the issuance of trust preferred securities by our affiliates NBN Capital Trust II and NBN Capital Trust III. The notional amount of $3 million for each interest rate cap represents the outstanding junior subordinated debt from each trust. The strike rate is 2.505%. The Company will recognize higher interest expense on the junior subordinated debt for the first 200 basis points increase in three-month LIBOR. Once the three-month LIBOR rate exceeds 2.505% on a quarterly reset date, there will be a payment by the counterparty to the Company at the following quarter end. The effective date of the purchased interest rate caps was September 30, 2009 and mature five years thereafer.</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interest rate swap hedges the junior subordinated debt resulting from the issuance of trust preferred stock by our affiliate NBN Capital Trust IV. The notional amount of $10 million represents the outstanding junior subordinated debt from this trust. Under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terms of the interest rate swap, the Company pays a fixed rate of 4.69% quarterly for a period of five years from the effective date of February 23, 2010. The Company receives quarterly interest payments of three month LIBOR plus 1.89% over the same term.</w:t>
      </w:r>
    </w:p>
    <w:p>
      <w:pPr>
        <w:spacing w:after="0" w:line="166"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and Regulatory Matters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Company’s and the Bank’s capital amounts and classification are also subject to qualitative judgments by the regulators about components, risk weightings and other factors.</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prompt corrective action regulations define specific capital categories based on an institution’s capital ratios. The capital categories, in declining order, are “well capitalized,” “adequately capitalized,” “undercapitalized,” “significantly undercapitalized” and “critically undercapitalized.”</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June 30, 2013 and 2012, the most recent notification from the Company’s and the Bank’s regulator categorized the Company and the Bank as “well capitalized” under the regulatory framework for prompt corrective action. To be categorized as “well capitalized,” the Company and the Bank must maintain minimum total risk-based, Tier 1 risk-based and Tier 1 leverage ratios as set forth in the table below. There are no conditions or events since that notification that management believes have changed the institution’s regulatory designation as “well-capitalized” under the regulatory framework for prompt corrective action.</w:t>
      </w:r>
    </w:p>
    <w:p>
      <w:pPr>
        <w:sectPr>
          <w:pgSz w:w="11900" w:h="16838" w:orient="portrait"/>
          <w:cols w:equalWidth="0" w:num="1">
            <w:col w:w="11400"/>
          </w:cols>
          <w:pgMar w:left="240" w:top="125" w:right="259" w:bottom="184" w:gutter="0" w:footer="0" w:header="0"/>
        </w:sectPr>
      </w:pPr>
    </w:p>
    <w:bookmarkStart w:id="56" w:name="page57"/>
    <w:bookmarkEnd w:id="56"/>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as set forth in the table below. At June 30, 2013 and 2012, the Company’s and the Bank’s ratios exceeded the regulatory requirements. Management believes that the Company and the Bank met all capital adequacy requirements to which they were subject as of June 30, 2013 and 2012. The Company’s and the Bank’s regulatory capital ratios are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left="496"/>
              <w:spacing w:after="0"/>
              <w:rPr>
                <w:sz w:val="20"/>
                <w:szCs w:val="20"/>
                <w:color w:val="auto"/>
              </w:rPr>
            </w:pPr>
            <w:r>
              <w:rPr>
                <w:rFonts w:ascii="Arial" w:cs="Arial" w:eastAsia="Arial" w:hAnsi="Arial"/>
                <w:sz w:val="14"/>
                <w:szCs w:val="14"/>
                <w:b w:val="1"/>
                <w:bCs w:val="1"/>
                <w:color w:val="auto"/>
              </w:rPr>
              <w:t>Minimum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restart"/>
          </w:tcPr>
          <w:p>
            <w:pPr>
              <w:jc w:val="center"/>
              <w:ind w:left="455"/>
              <w:spacing w:after="0"/>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left="496"/>
              <w:spacing w:after="0" w:line="149" w:lineRule="exact"/>
              <w:rPr>
                <w:sz w:val="20"/>
                <w:szCs w:val="20"/>
                <w:color w:val="auto"/>
              </w:rPr>
            </w:pPr>
            <w:r>
              <w:rPr>
                <w:rFonts w:ascii="Arial" w:cs="Arial" w:eastAsia="Arial" w:hAnsi="Arial"/>
                <w:sz w:val="14"/>
                <w:szCs w:val="14"/>
                <w:b w:val="1"/>
                <w:bCs w:val="1"/>
                <w:color w:val="auto"/>
                <w:w w:val="92"/>
              </w:rPr>
              <w:t>To Be Well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Capitalized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Actual</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left="455"/>
              <w:spacing w:after="0" w:line="149" w:lineRule="exact"/>
              <w:rPr>
                <w:sz w:val="20"/>
                <w:szCs w:val="20"/>
                <w:color w:val="auto"/>
              </w:rPr>
            </w:pPr>
            <w:r>
              <w:rPr>
                <w:rFonts w:ascii="Arial" w:cs="Arial" w:eastAsia="Arial" w:hAnsi="Arial"/>
                <w:sz w:val="14"/>
                <w:szCs w:val="14"/>
                <w:b w:val="1"/>
                <w:bCs w:val="1"/>
                <w:color w:val="auto"/>
                <w:w w:val="98"/>
              </w:rPr>
              <w:t>Capital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Prompt Correction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left="455"/>
              <w:spacing w:after="0"/>
              <w:rPr>
                <w:sz w:val="20"/>
                <w:szCs w:val="20"/>
                <w:color w:val="auto"/>
              </w:rPr>
            </w:pPr>
            <w:r>
              <w:rPr>
                <w:rFonts w:ascii="Arial" w:cs="Arial" w:eastAsia="Arial" w:hAnsi="Arial"/>
                <w:sz w:val="14"/>
                <w:szCs w:val="14"/>
                <w:b w:val="1"/>
                <w:bCs w:val="1"/>
                <w:color w:val="auto"/>
                <w:w w:val="92"/>
              </w:rPr>
              <w:t>Requirements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0"/>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Ratio</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16"/>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bottom w:val="single" w:sz="8" w:color="auto"/>
            </w:tcBorders>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122,291</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27.54%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475"/>
              <w:spacing w:after="0" w:line="176" w:lineRule="exact"/>
              <w:rPr>
                <w:sz w:val="20"/>
                <w:szCs w:val="20"/>
                <w:color w:val="auto"/>
              </w:rPr>
            </w:pPr>
            <w:r>
              <w:rPr>
                <w:rFonts w:ascii="Arial" w:cs="Arial" w:eastAsia="Arial" w:hAnsi="Arial"/>
                <w:sz w:val="18"/>
                <w:szCs w:val="18"/>
                <w:color w:val="auto"/>
              </w:rPr>
              <w:t>35,520</w:t>
            </w:r>
          </w:p>
        </w:tc>
        <w:tc>
          <w:tcPr>
            <w:tcW w:w="420" w:type="dxa"/>
            <w:vAlign w:val="bottom"/>
            <w:shd w:val="clear" w:color="auto" w:fill="CCEEFF"/>
          </w:tcPr>
          <w:p>
            <w:pPr>
              <w:spacing w:after="0"/>
              <w:rPr>
                <w:sz w:val="15"/>
                <w:szCs w:val="15"/>
                <w:color w:val="auto"/>
              </w:rPr>
            </w:pPr>
          </w:p>
        </w:tc>
        <w:tc>
          <w:tcPr>
            <w:tcW w:w="7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&gt;8.0% $</w:t>
            </w:r>
          </w:p>
        </w:tc>
        <w:tc>
          <w:tcPr>
            <w:tcW w:w="1400" w:type="dxa"/>
            <w:vAlign w:val="bottom"/>
            <w:shd w:val="clear" w:color="auto" w:fill="CCEEFF"/>
          </w:tcPr>
          <w:p>
            <w:pPr>
              <w:jc w:val="right"/>
              <w:ind w:right="436"/>
              <w:spacing w:after="0" w:line="176" w:lineRule="exact"/>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6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99,527</w:t>
            </w:r>
          </w:p>
        </w:tc>
        <w:tc>
          <w:tcPr>
            <w:tcW w:w="11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22.30%</w:t>
            </w:r>
          </w:p>
        </w:tc>
        <w:tc>
          <w:tcPr>
            <w:tcW w:w="180" w:type="dxa"/>
            <w:vAlign w:val="bottom"/>
          </w:tcPr>
          <w:p>
            <w:pPr>
              <w:spacing w:after="0"/>
              <w:rPr>
                <w:sz w:val="15"/>
                <w:szCs w:val="15"/>
                <w:color w:val="auto"/>
              </w:rPr>
            </w:pPr>
          </w:p>
        </w:tc>
        <w:tc>
          <w:tcPr>
            <w:tcW w:w="1440" w:type="dxa"/>
            <w:vAlign w:val="bottom"/>
          </w:tcPr>
          <w:p>
            <w:pPr>
              <w:jc w:val="right"/>
              <w:ind w:right="475"/>
              <w:spacing w:after="0" w:line="176" w:lineRule="exact"/>
              <w:rPr>
                <w:sz w:val="20"/>
                <w:szCs w:val="20"/>
                <w:color w:val="auto"/>
              </w:rPr>
            </w:pPr>
            <w:r>
              <w:rPr>
                <w:rFonts w:ascii="Arial" w:cs="Arial" w:eastAsia="Arial" w:hAnsi="Arial"/>
                <w:sz w:val="18"/>
                <w:szCs w:val="18"/>
                <w:color w:val="auto"/>
              </w:rPr>
              <w:t>35,709</w:t>
            </w:r>
          </w:p>
        </w:tc>
        <w:tc>
          <w:tcPr>
            <w:tcW w:w="42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&gt;8.0%</w:t>
            </w:r>
          </w:p>
        </w:tc>
        <w:tc>
          <w:tcPr>
            <w:tcW w:w="180" w:type="dxa"/>
            <w:vAlign w:val="bottom"/>
          </w:tcPr>
          <w:p>
            <w:pPr>
              <w:spacing w:after="0"/>
              <w:rPr>
                <w:sz w:val="15"/>
                <w:szCs w:val="15"/>
                <w:color w:val="auto"/>
              </w:rPr>
            </w:pPr>
          </w:p>
        </w:tc>
        <w:tc>
          <w:tcPr>
            <w:tcW w:w="1400" w:type="dxa"/>
            <w:vAlign w:val="bottom"/>
          </w:tcPr>
          <w:p>
            <w:pPr>
              <w:jc w:val="right"/>
              <w:ind w:right="436"/>
              <w:spacing w:after="0" w:line="176" w:lineRule="exact"/>
              <w:rPr>
                <w:sz w:val="20"/>
                <w:szCs w:val="20"/>
                <w:color w:val="auto"/>
              </w:rPr>
            </w:pPr>
            <w:r>
              <w:rPr>
                <w:rFonts w:ascii="Arial" w:cs="Arial" w:eastAsia="Arial" w:hAnsi="Arial"/>
                <w:sz w:val="18"/>
                <w:szCs w:val="18"/>
                <w:color w:val="auto"/>
              </w:rPr>
              <w:t>44,637</w:t>
            </w:r>
          </w:p>
        </w:tc>
        <w:tc>
          <w:tcPr>
            <w:tcW w:w="94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121,148</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27.29%</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75"/>
              <w:spacing w:after="0" w:line="176" w:lineRule="exact"/>
              <w:rPr>
                <w:sz w:val="20"/>
                <w:szCs w:val="20"/>
                <w:color w:val="auto"/>
              </w:rPr>
            </w:pPr>
            <w:r>
              <w:rPr>
                <w:rFonts w:ascii="Arial" w:cs="Arial" w:eastAsia="Arial" w:hAnsi="Arial"/>
                <w:sz w:val="18"/>
                <w:szCs w:val="18"/>
                <w:color w:val="auto"/>
              </w:rPr>
              <w:t>17,760</w:t>
            </w:r>
          </w:p>
        </w:tc>
        <w:tc>
          <w:tcPr>
            <w:tcW w:w="4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36"/>
              <w:spacing w:after="0" w:line="176" w:lineRule="exact"/>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6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95,485</w:t>
            </w:r>
          </w:p>
        </w:tc>
        <w:tc>
          <w:tcPr>
            <w:tcW w:w="11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21.39%</w:t>
            </w:r>
          </w:p>
        </w:tc>
        <w:tc>
          <w:tcPr>
            <w:tcW w:w="180" w:type="dxa"/>
            <w:vAlign w:val="bottom"/>
          </w:tcPr>
          <w:p>
            <w:pPr>
              <w:spacing w:after="0"/>
              <w:rPr>
                <w:sz w:val="15"/>
                <w:szCs w:val="15"/>
                <w:color w:val="auto"/>
              </w:rPr>
            </w:pPr>
          </w:p>
        </w:tc>
        <w:tc>
          <w:tcPr>
            <w:tcW w:w="1440" w:type="dxa"/>
            <w:vAlign w:val="bottom"/>
          </w:tcPr>
          <w:p>
            <w:pPr>
              <w:jc w:val="right"/>
              <w:ind w:right="475"/>
              <w:spacing w:after="0" w:line="176" w:lineRule="exact"/>
              <w:rPr>
                <w:sz w:val="20"/>
                <w:szCs w:val="20"/>
                <w:color w:val="auto"/>
              </w:rPr>
            </w:pPr>
            <w:r>
              <w:rPr>
                <w:rFonts w:ascii="Arial" w:cs="Arial" w:eastAsia="Arial" w:hAnsi="Arial"/>
                <w:sz w:val="18"/>
                <w:szCs w:val="18"/>
                <w:color w:val="auto"/>
              </w:rPr>
              <w:t>17,855</w:t>
            </w:r>
          </w:p>
        </w:tc>
        <w:tc>
          <w:tcPr>
            <w:tcW w:w="42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400" w:type="dxa"/>
            <w:vAlign w:val="bottom"/>
          </w:tcPr>
          <w:p>
            <w:pPr>
              <w:jc w:val="right"/>
              <w:ind w:right="436"/>
              <w:spacing w:after="0" w:line="176" w:lineRule="exact"/>
              <w:rPr>
                <w:sz w:val="20"/>
                <w:szCs w:val="20"/>
                <w:color w:val="auto"/>
              </w:rPr>
            </w:pPr>
            <w:r>
              <w:rPr>
                <w:rFonts w:ascii="Arial" w:cs="Arial" w:eastAsia="Arial" w:hAnsi="Arial"/>
                <w:sz w:val="18"/>
                <w:szCs w:val="18"/>
                <w:color w:val="auto"/>
              </w:rPr>
              <w:t>26,782</w:t>
            </w:r>
          </w:p>
        </w:tc>
        <w:tc>
          <w:tcPr>
            <w:tcW w:w="94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121,148</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17.78%</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75"/>
              <w:spacing w:after="0" w:line="176" w:lineRule="exact"/>
              <w:rPr>
                <w:sz w:val="20"/>
                <w:szCs w:val="20"/>
                <w:color w:val="auto"/>
              </w:rPr>
            </w:pPr>
            <w:r>
              <w:rPr>
                <w:rFonts w:ascii="Arial" w:cs="Arial" w:eastAsia="Arial" w:hAnsi="Arial"/>
                <w:sz w:val="18"/>
                <w:szCs w:val="18"/>
                <w:color w:val="auto"/>
              </w:rPr>
              <w:t>27,255</w:t>
            </w:r>
          </w:p>
        </w:tc>
        <w:tc>
          <w:tcPr>
            <w:tcW w:w="4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36"/>
              <w:spacing w:after="0" w:line="176" w:lineRule="exact"/>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tcPr>
          <w:p>
            <w:pPr>
              <w:spacing w:after="0"/>
              <w:rPr>
                <w:sz w:val="15"/>
                <w:szCs w:val="15"/>
                <w:color w:val="auto"/>
              </w:rPr>
            </w:pPr>
          </w:p>
        </w:tc>
        <w:tc>
          <w:tcPr>
            <w:tcW w:w="136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95,485</w:t>
            </w:r>
          </w:p>
        </w:tc>
        <w:tc>
          <w:tcPr>
            <w:tcW w:w="11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14.08%</w:t>
            </w:r>
          </w:p>
        </w:tc>
        <w:tc>
          <w:tcPr>
            <w:tcW w:w="180" w:type="dxa"/>
            <w:vAlign w:val="bottom"/>
          </w:tcPr>
          <w:p>
            <w:pPr>
              <w:spacing w:after="0"/>
              <w:rPr>
                <w:sz w:val="15"/>
                <w:szCs w:val="15"/>
                <w:color w:val="auto"/>
              </w:rPr>
            </w:pPr>
          </w:p>
        </w:tc>
        <w:tc>
          <w:tcPr>
            <w:tcW w:w="1440" w:type="dxa"/>
            <w:vAlign w:val="bottom"/>
          </w:tcPr>
          <w:p>
            <w:pPr>
              <w:jc w:val="right"/>
              <w:ind w:right="475"/>
              <w:spacing w:after="0" w:line="176" w:lineRule="exact"/>
              <w:rPr>
                <w:sz w:val="20"/>
                <w:szCs w:val="20"/>
                <w:color w:val="auto"/>
              </w:rPr>
            </w:pPr>
            <w:r>
              <w:rPr>
                <w:rFonts w:ascii="Arial" w:cs="Arial" w:eastAsia="Arial" w:hAnsi="Arial"/>
                <w:sz w:val="18"/>
                <w:szCs w:val="18"/>
                <w:color w:val="auto"/>
              </w:rPr>
              <w:t>27,121</w:t>
            </w:r>
          </w:p>
        </w:tc>
        <w:tc>
          <w:tcPr>
            <w:tcW w:w="42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400" w:type="dxa"/>
            <w:vAlign w:val="bottom"/>
          </w:tcPr>
          <w:p>
            <w:pPr>
              <w:jc w:val="right"/>
              <w:ind w:right="436"/>
              <w:spacing w:after="0" w:line="176" w:lineRule="exact"/>
              <w:rPr>
                <w:sz w:val="20"/>
                <w:szCs w:val="20"/>
                <w:color w:val="auto"/>
              </w:rPr>
            </w:pPr>
            <w:r>
              <w:rPr>
                <w:rFonts w:ascii="Arial" w:cs="Arial" w:eastAsia="Arial" w:hAnsi="Arial"/>
                <w:sz w:val="18"/>
                <w:szCs w:val="18"/>
                <w:color w:val="auto"/>
              </w:rPr>
              <w:t>33,902</w:t>
            </w:r>
          </w:p>
        </w:tc>
        <w:tc>
          <w:tcPr>
            <w:tcW w:w="94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30, 2012:</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124,452</w:t>
            </w:r>
          </w:p>
        </w:tc>
        <w:tc>
          <w:tcPr>
            <w:tcW w:w="11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33.34%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475"/>
              <w:spacing w:after="0" w:line="176" w:lineRule="exact"/>
              <w:rPr>
                <w:sz w:val="20"/>
                <w:szCs w:val="20"/>
                <w:color w:val="auto"/>
              </w:rPr>
            </w:pPr>
            <w:r>
              <w:rPr>
                <w:rFonts w:ascii="Arial" w:cs="Arial" w:eastAsia="Arial" w:hAnsi="Arial"/>
                <w:sz w:val="18"/>
                <w:szCs w:val="18"/>
                <w:color w:val="auto"/>
              </w:rPr>
              <w:t>29,863</w:t>
            </w:r>
          </w:p>
        </w:tc>
        <w:tc>
          <w:tcPr>
            <w:tcW w:w="420" w:type="dxa"/>
            <w:vAlign w:val="bottom"/>
          </w:tcPr>
          <w:p>
            <w:pPr>
              <w:spacing w:after="0"/>
              <w:rPr>
                <w:sz w:val="15"/>
                <w:szCs w:val="15"/>
                <w:color w:val="auto"/>
              </w:rPr>
            </w:pPr>
          </w:p>
        </w:tc>
        <w:tc>
          <w:tcPr>
            <w:tcW w:w="720" w:type="dxa"/>
            <w:vAlign w:val="bottom"/>
            <w:gridSpan w:val="4"/>
          </w:tcPr>
          <w:p>
            <w:pPr>
              <w:spacing w:after="0" w:line="176" w:lineRule="exact"/>
              <w:rPr>
                <w:sz w:val="20"/>
                <w:szCs w:val="20"/>
                <w:color w:val="auto"/>
              </w:rPr>
            </w:pPr>
            <w:r>
              <w:rPr>
                <w:rFonts w:ascii="Arial" w:cs="Arial" w:eastAsia="Arial" w:hAnsi="Arial"/>
                <w:sz w:val="18"/>
                <w:szCs w:val="18"/>
                <w:color w:val="auto"/>
              </w:rPr>
              <w:t>&gt;8.0% $</w:t>
            </w:r>
          </w:p>
        </w:tc>
        <w:tc>
          <w:tcPr>
            <w:tcW w:w="1400" w:type="dxa"/>
            <w:vAlign w:val="bottom"/>
          </w:tcPr>
          <w:p>
            <w:pPr>
              <w:jc w:val="right"/>
              <w:ind w:right="436"/>
              <w:spacing w:after="0" w:line="176" w:lineRule="exact"/>
              <w:rPr>
                <w:sz w:val="20"/>
                <w:szCs w:val="20"/>
                <w:color w:val="auto"/>
              </w:rPr>
            </w:pPr>
            <w:r>
              <w:rPr>
                <w:rFonts w:ascii="Arial" w:cs="Arial" w:eastAsia="Arial" w:hAnsi="Arial"/>
                <w:sz w:val="18"/>
                <w:szCs w:val="18"/>
                <w:color w:val="auto"/>
              </w:rPr>
              <w:t>N/A</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75,081</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75"/>
              <w:spacing w:after="0" w:line="176" w:lineRule="exact"/>
              <w:rPr>
                <w:sz w:val="20"/>
                <w:szCs w:val="20"/>
                <w:color w:val="auto"/>
              </w:rPr>
            </w:pPr>
            <w:r>
              <w:rPr>
                <w:rFonts w:ascii="Arial" w:cs="Arial" w:eastAsia="Arial" w:hAnsi="Arial"/>
                <w:sz w:val="18"/>
                <w:szCs w:val="18"/>
                <w:color w:val="auto"/>
              </w:rPr>
              <w:t>29,824</w:t>
            </w:r>
          </w:p>
        </w:tc>
        <w:tc>
          <w:tcPr>
            <w:tcW w:w="4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&gt;8.0%</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36"/>
              <w:spacing w:after="0" w:line="176" w:lineRule="exact"/>
              <w:rPr>
                <w:sz w:val="20"/>
                <w:szCs w:val="20"/>
                <w:color w:val="auto"/>
              </w:rPr>
            </w:pPr>
            <w:r>
              <w:rPr>
                <w:rFonts w:ascii="Arial" w:cs="Arial" w:eastAsia="Arial" w:hAnsi="Arial"/>
                <w:sz w:val="18"/>
                <w:szCs w:val="18"/>
                <w:color w:val="auto"/>
              </w:rPr>
              <w:t>37,280</w:t>
            </w:r>
          </w:p>
        </w:tc>
        <w:tc>
          <w:tcPr>
            <w:tcW w:w="94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5"/>
                <w:szCs w:val="15"/>
                <w:color w:val="auto"/>
              </w:rPr>
            </w:pPr>
          </w:p>
        </w:tc>
        <w:tc>
          <w:tcPr>
            <w:tcW w:w="136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123,628</w:t>
            </w:r>
          </w:p>
        </w:tc>
        <w:tc>
          <w:tcPr>
            <w:tcW w:w="11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33.12%</w:t>
            </w:r>
          </w:p>
        </w:tc>
        <w:tc>
          <w:tcPr>
            <w:tcW w:w="180" w:type="dxa"/>
            <w:vAlign w:val="bottom"/>
          </w:tcPr>
          <w:p>
            <w:pPr>
              <w:spacing w:after="0"/>
              <w:rPr>
                <w:sz w:val="15"/>
                <w:szCs w:val="15"/>
                <w:color w:val="auto"/>
              </w:rPr>
            </w:pPr>
          </w:p>
        </w:tc>
        <w:tc>
          <w:tcPr>
            <w:tcW w:w="1440" w:type="dxa"/>
            <w:vAlign w:val="bottom"/>
          </w:tcPr>
          <w:p>
            <w:pPr>
              <w:jc w:val="right"/>
              <w:ind w:right="475"/>
              <w:spacing w:after="0" w:line="176" w:lineRule="exact"/>
              <w:rPr>
                <w:sz w:val="20"/>
                <w:szCs w:val="20"/>
                <w:color w:val="auto"/>
              </w:rPr>
            </w:pPr>
            <w:r>
              <w:rPr>
                <w:rFonts w:ascii="Arial" w:cs="Arial" w:eastAsia="Arial" w:hAnsi="Arial"/>
                <w:sz w:val="18"/>
                <w:szCs w:val="18"/>
                <w:color w:val="auto"/>
              </w:rPr>
              <w:t>14,931</w:t>
            </w:r>
          </w:p>
        </w:tc>
        <w:tc>
          <w:tcPr>
            <w:tcW w:w="42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400" w:type="dxa"/>
            <w:vAlign w:val="bottom"/>
          </w:tcPr>
          <w:p>
            <w:pPr>
              <w:jc w:val="right"/>
              <w:ind w:right="436"/>
              <w:spacing w:after="0" w:line="176" w:lineRule="exact"/>
              <w:rPr>
                <w:sz w:val="20"/>
                <w:szCs w:val="20"/>
                <w:color w:val="auto"/>
              </w:rPr>
            </w:pPr>
            <w:r>
              <w:rPr>
                <w:rFonts w:ascii="Arial" w:cs="Arial" w:eastAsia="Arial" w:hAnsi="Arial"/>
                <w:sz w:val="18"/>
                <w:szCs w:val="18"/>
                <w:color w:val="auto"/>
              </w:rPr>
              <w:t>N/A</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70,414</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18.89%</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75"/>
              <w:spacing w:after="0" w:line="176" w:lineRule="exact"/>
              <w:rPr>
                <w:sz w:val="20"/>
                <w:szCs w:val="20"/>
                <w:color w:val="auto"/>
              </w:rPr>
            </w:pPr>
            <w:r>
              <w:rPr>
                <w:rFonts w:ascii="Arial" w:cs="Arial" w:eastAsia="Arial" w:hAnsi="Arial"/>
                <w:sz w:val="18"/>
                <w:szCs w:val="18"/>
                <w:color w:val="auto"/>
              </w:rPr>
              <w:t>14,910</w:t>
            </w:r>
          </w:p>
        </w:tc>
        <w:tc>
          <w:tcPr>
            <w:tcW w:w="4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36"/>
              <w:spacing w:after="0" w:line="176" w:lineRule="exact"/>
              <w:rPr>
                <w:sz w:val="20"/>
                <w:szCs w:val="20"/>
                <w:color w:val="auto"/>
              </w:rPr>
            </w:pPr>
            <w:r>
              <w:rPr>
                <w:rFonts w:ascii="Arial" w:cs="Arial" w:eastAsia="Arial" w:hAnsi="Arial"/>
                <w:sz w:val="18"/>
                <w:szCs w:val="18"/>
                <w:color w:val="auto"/>
              </w:rPr>
              <w:t>22,365</w:t>
            </w:r>
          </w:p>
        </w:tc>
        <w:tc>
          <w:tcPr>
            <w:tcW w:w="94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5"/>
                <w:szCs w:val="15"/>
                <w:color w:val="auto"/>
              </w:rPr>
            </w:pPr>
          </w:p>
        </w:tc>
        <w:tc>
          <w:tcPr>
            <w:tcW w:w="136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123,628</w:t>
            </w:r>
          </w:p>
        </w:tc>
        <w:tc>
          <w:tcPr>
            <w:tcW w:w="110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19.91%</w:t>
            </w:r>
          </w:p>
        </w:tc>
        <w:tc>
          <w:tcPr>
            <w:tcW w:w="180" w:type="dxa"/>
            <w:vAlign w:val="bottom"/>
          </w:tcPr>
          <w:p>
            <w:pPr>
              <w:spacing w:after="0"/>
              <w:rPr>
                <w:sz w:val="15"/>
                <w:szCs w:val="15"/>
                <w:color w:val="auto"/>
              </w:rPr>
            </w:pPr>
          </w:p>
        </w:tc>
        <w:tc>
          <w:tcPr>
            <w:tcW w:w="1440" w:type="dxa"/>
            <w:vAlign w:val="bottom"/>
          </w:tcPr>
          <w:p>
            <w:pPr>
              <w:jc w:val="right"/>
              <w:ind w:right="475"/>
              <w:spacing w:after="0" w:line="176" w:lineRule="exact"/>
              <w:rPr>
                <w:sz w:val="20"/>
                <w:szCs w:val="20"/>
                <w:color w:val="auto"/>
              </w:rPr>
            </w:pPr>
            <w:r>
              <w:rPr>
                <w:rFonts w:ascii="Arial" w:cs="Arial" w:eastAsia="Arial" w:hAnsi="Arial"/>
                <w:sz w:val="18"/>
                <w:szCs w:val="18"/>
                <w:color w:val="auto"/>
              </w:rPr>
              <w:t>24,837</w:t>
            </w:r>
          </w:p>
        </w:tc>
        <w:tc>
          <w:tcPr>
            <w:tcW w:w="42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400" w:type="dxa"/>
            <w:vAlign w:val="bottom"/>
          </w:tcPr>
          <w:p>
            <w:pPr>
              <w:jc w:val="right"/>
              <w:ind w:right="436"/>
              <w:spacing w:after="0" w:line="176" w:lineRule="exact"/>
              <w:rPr>
                <w:sz w:val="20"/>
                <w:szCs w:val="20"/>
                <w:color w:val="auto"/>
              </w:rPr>
            </w:pPr>
            <w:r>
              <w:rPr>
                <w:rFonts w:ascii="Arial" w:cs="Arial" w:eastAsia="Arial" w:hAnsi="Arial"/>
                <w:sz w:val="18"/>
                <w:szCs w:val="18"/>
                <w:color w:val="auto"/>
              </w:rPr>
              <w:t>N/A</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70,414</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11.43%</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75"/>
              <w:spacing w:after="0" w:line="176" w:lineRule="exact"/>
              <w:rPr>
                <w:sz w:val="20"/>
                <w:szCs w:val="20"/>
                <w:color w:val="auto"/>
              </w:rPr>
            </w:pPr>
            <w:r>
              <w:rPr>
                <w:rFonts w:ascii="Arial" w:cs="Arial" w:eastAsia="Arial" w:hAnsi="Arial"/>
                <w:sz w:val="18"/>
                <w:szCs w:val="18"/>
                <w:color w:val="auto"/>
              </w:rPr>
              <w:t>24,642</w:t>
            </w:r>
          </w:p>
        </w:tc>
        <w:tc>
          <w:tcPr>
            <w:tcW w:w="4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36"/>
              <w:spacing w:after="0" w:line="176" w:lineRule="exact"/>
              <w:rPr>
                <w:sz w:val="20"/>
                <w:szCs w:val="20"/>
                <w:color w:val="auto"/>
              </w:rPr>
            </w:pPr>
            <w:r>
              <w:rPr>
                <w:rFonts w:ascii="Arial" w:cs="Arial" w:eastAsia="Arial" w:hAnsi="Arial"/>
                <w:sz w:val="18"/>
                <w:szCs w:val="18"/>
                <w:color w:val="auto"/>
              </w:rPr>
              <w:t>30,802</w:t>
            </w:r>
          </w:p>
        </w:tc>
        <w:tc>
          <w:tcPr>
            <w:tcW w:w="94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Parent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w w:val="91"/>
              </w:rPr>
              <w:t>Year ended 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00" w:type="dxa"/>
            <w:vAlign w:val="bottom"/>
            <w:gridSpan w:val="4"/>
          </w:tcPr>
          <w:p>
            <w:pPr>
              <w:jc w:val="center"/>
              <w:ind w:right="132"/>
              <w:spacing w:after="0" w:line="119" w:lineRule="exact"/>
              <w:rPr>
                <w:sz w:val="20"/>
                <w:szCs w:val="20"/>
                <w:color w:val="auto"/>
              </w:rPr>
            </w:pPr>
            <w:r>
              <w:rPr>
                <w:rFonts w:ascii="Arial" w:cs="Arial" w:eastAsia="Arial" w:hAnsi="Arial"/>
                <w:sz w:val="13"/>
                <w:szCs w:val="13"/>
                <w:b w:val="1"/>
                <w:bCs w:val="1"/>
                <w:color w:val="auto"/>
                <w:w w:val="97"/>
              </w:rPr>
              <w:t>(Dollars 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91"/>
              </w:rPr>
              <w:t>per share data)</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7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Preferred stock dividends and accretion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Net income from continuing operations available to common shareholders</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earnings per share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10,409,588</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Incremental shares from assumed exercise of dilutive securities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Weighted average shares used in calculation of diluted earnings per share</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10,409,588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Earnings per common share</w:t>
            </w:r>
          </w:p>
        </w:tc>
        <w:tc>
          <w:tcPr>
            <w:tcW w:w="4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6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r>
      <w:tr>
        <w:trPr>
          <w:trHeight w:val="210"/>
        </w:trPr>
        <w:tc>
          <w:tcPr>
            <w:tcW w:w="48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anti-dilutive options and warrants excluded from the calculation of dilutive earnings per share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1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1"/>
              </w:rPr>
              <w:t>Year ended 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963,549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796,049</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Warrants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31,365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8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deferred components of income tax expense from continuing operations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4"/>
              </w:rPr>
              <w:t>Year Ended June 30,</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00" w:type="dxa"/>
            <w:vAlign w:val="bottom"/>
            <w:gridSpan w:val="3"/>
          </w:tcPr>
          <w:p>
            <w:pPr>
              <w:jc w:val="right"/>
              <w:ind w:right="23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 (benefit)</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2,179</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(1,033)</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4200" w:type="dxa"/>
            <w:vAlign w:val="bottom"/>
          </w:tcPr>
          <w:p>
            <w:pPr>
              <w:ind w:left="360"/>
              <w:spacing w:after="0"/>
              <w:rPr>
                <w:sz w:val="20"/>
                <w:szCs w:val="20"/>
                <w:color w:val="auto"/>
              </w:rPr>
            </w:pPr>
            <w:r>
              <w:rPr>
                <w:rFonts w:ascii="Arial" w:cs="Arial" w:eastAsia="Arial" w:hAnsi="Arial"/>
                <w:sz w:val="18"/>
                <w:szCs w:val="18"/>
                <w:color w:val="auto"/>
              </w:rPr>
              <w:t>Total current provision (benefit)</w:t>
            </w:r>
          </w:p>
        </w:tc>
        <w:tc>
          <w:tcPr>
            <w:tcW w:w="14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gridSpan w:val="2"/>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 provision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8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r>
      <w:tr>
        <w:trPr>
          <w:trHeight w:val="210"/>
        </w:trPr>
        <w:tc>
          <w:tcPr>
            <w:tcW w:w="4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(benefit) provision</w:t>
            </w:r>
          </w:p>
        </w:tc>
        <w:tc>
          <w:tcPr>
            <w:tcW w:w="1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200" w:type="dxa"/>
            <w:vAlign w:val="bottom"/>
          </w:tcPr>
          <w:p>
            <w:pPr>
              <w:ind w:left="360"/>
              <w:spacing w:after="0"/>
              <w:rPr>
                <w:sz w:val="20"/>
                <w:szCs w:val="20"/>
                <w:color w:val="auto"/>
              </w:rPr>
            </w:pPr>
            <w:r>
              <w:rPr>
                <w:rFonts w:ascii="Arial" w:cs="Arial" w:eastAsia="Arial" w:hAnsi="Arial"/>
                <w:sz w:val="18"/>
                <w:szCs w:val="18"/>
                <w:color w:val="auto"/>
              </w:rPr>
              <w:t>Total tax provision</w:t>
            </w:r>
          </w:p>
        </w:tc>
        <w:tc>
          <w:tcPr>
            <w:tcW w:w="14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280" w:type="dxa"/>
            <w:vAlign w:val="bottom"/>
          </w:tcPr>
          <w:p>
            <w:pPr>
              <w:spacing w:after="0"/>
              <w:rPr>
                <w:sz w:val="18"/>
                <w:szCs w:val="18"/>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between the statutory federal income tax rate of 34% and the effective tax rate on income from continuing operations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3"/>
              </w:rPr>
              <w:t>Year Ended June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3"/>
          </w:tcPr>
          <w:p>
            <w:pPr>
              <w:jc w:val="right"/>
              <w:ind w:right="296"/>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at federal tax rate</w:t>
            </w:r>
          </w:p>
        </w:tc>
        <w:tc>
          <w:tcPr>
            <w:tcW w:w="232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2,164</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9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Non-taxable BOLI income</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Low-income housing tax credit</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9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180"/>
              <w:spacing w:after="0"/>
              <w:rPr>
                <w:sz w:val="20"/>
                <w:szCs w:val="20"/>
                <w:color w:val="auto"/>
              </w:rPr>
            </w:pPr>
            <w:r>
              <w:rPr>
                <w:rFonts w:ascii="Arial" w:cs="Arial" w:eastAsia="Arial" w:hAnsi="Arial"/>
                <w:sz w:val="18"/>
                <w:szCs w:val="18"/>
                <w:color w:val="auto"/>
              </w:rPr>
              <w:t>Total tax provision</w:t>
            </w:r>
          </w:p>
        </w:tc>
        <w:tc>
          <w:tcPr>
            <w:tcW w:w="15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2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color w:val="auto"/>
              </w:rPr>
              <w:t>74</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4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deferred tax liabilities at June 30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6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basis differential</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Time deposit basis differential</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basis differential</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Capital lease</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derivatives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Unrealized loss on available for sale securities</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nonperforming loans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210"/>
        </w:trPr>
        <w:tc>
          <w:tcPr>
            <w:tcW w:w="7160" w:type="dxa"/>
            <w:vAlign w:val="bottom"/>
          </w:tcPr>
          <w:p>
            <w:pPr>
              <w:ind w:left="360"/>
              <w:spacing w:after="0"/>
              <w:rPr>
                <w:sz w:val="20"/>
                <w:szCs w:val="20"/>
                <w:color w:val="auto"/>
              </w:rPr>
            </w:pPr>
            <w:r>
              <w:rPr>
                <w:rFonts w:ascii="Arial" w:cs="Arial" w:eastAsia="Arial" w:hAnsi="Arial"/>
                <w:sz w:val="18"/>
                <w:szCs w:val="18"/>
                <w:color w:val="auto"/>
              </w:rPr>
              <w:t>Total deferred tax asset</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Goodwill and other intangible assets</w:t>
            </w: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(1,526)</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3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(801)</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basis differential</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Unrealized gain on available for sale securities</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liability</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tcPr>
          <w:p>
            <w:pPr>
              <w:spacing w:after="0"/>
              <w:rPr>
                <w:sz w:val="18"/>
                <w:szCs w:val="18"/>
                <w:color w:val="auto"/>
              </w:rPr>
            </w:pPr>
          </w:p>
        </w:tc>
      </w:tr>
      <w:tr>
        <w:trPr>
          <w:trHeight w:val="223"/>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liability</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liability was included in other liabilities in the accompanying balance sheet as of June 30, 2013 and 2012.</w:t>
      </w:r>
    </w:p>
    <w:p>
      <w:pPr>
        <w:sectPr>
          <w:pgSz w:w="11900" w:h="16838" w:orient="portrait"/>
          <w:cols w:equalWidth="0" w:num="1">
            <w:col w:w="11460"/>
          </w:cols>
          <w:pgMar w:left="240" w:top="140" w:right="199" w:bottom="0" w:gutter="0" w:footer="0" w:header="0"/>
        </w:sectPr>
      </w:pPr>
    </w:p>
    <w:bookmarkStart w:id="58" w:name="page59"/>
    <w:bookmarkEnd w:id="58"/>
    <w:p>
      <w:pPr>
        <w:spacing w:after="0" w:line="7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At June 30, 2013, the Company has determined that a valuation allowance is not required for any of its deferred tax assets since it is more likely than not that these assets will be realized.</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federal tax purposes, the Company has a $2.0 million reserve for loan losses which remains subject to recapture. If any portion of the reserve is used for purposes other than to absorb the losses for which it was established, approximately 150% of the amount actually used (limited to the amount of the reserve) would be subject to taxation in the year in which used. As the Company intends to use the reserve only to absorb loan losses, no provision has been made for potential liability that would result if 100% of the reserve were recaptured.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is the Company’s policy to provide for uncertain tax positions and the related interest and penalties based upon management’s assessment of whether a tax benefit is more likely than not to be sustained upon examination by tax authorities. As of June 30, 2013 and 2012, there were no material uncertain tax positions related to federal and state income tax matters. The Company is currently open to audit under the statute of limitations by the Internal Revenue Service and state taxing authorities for the fiscal 2010 tax return and forward.</w:t>
      </w:r>
    </w:p>
    <w:p>
      <w:pPr>
        <w:spacing w:after="0" w:line="183"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401(k) Plan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offers a contributory 401(k) plan that is available to all full-time salaried and hourly-paid employees who have attained age 18, and completed 90 days of employment. Employees may contribute up to 100% of their base compensation, subject to IRS limitations. The Company will match 50% of each employee’s contribution up to the first 6% contributed. For the years ended June 30, 2013 and 2012, the Company contributed $350 thousand and $308 thousand,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individual deferred compensation agreements with five senior officers. The Company recognized deferred compensation expense of $160 thousand and $159 thousand for the years ended June 30, 2013 and 2012, respectively. At June 30, 2013 and 2012, the Company’s deferred compensation liability was $405 thousand and $245 thousand, respectively.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the 2012 annual meeting of shareholders, the Company’s shareholders approved the Northeast Bancorp Amended and Restated 2010 Stock Option and Incentive Plan (the “Restated Plan”). The Restated Plan amends and restates the Northeast Bancorp 2010 Option and Incentive Plan (the “2010 Plan”). The key material differences between the 2010 Plan and the Restated Plan are:</w:t>
      </w:r>
    </w:p>
    <w:p>
      <w:pPr>
        <w:spacing w:after="0" w:line="181" w:lineRule="exact"/>
        <w:rPr>
          <w:sz w:val="20"/>
          <w:szCs w:val="20"/>
          <w:color w:val="auto"/>
        </w:rPr>
      </w:pPr>
    </w:p>
    <w:p>
      <w:pPr>
        <w:ind w:left="660" w:right="500" w:hanging="328"/>
        <w:spacing w:after="0" w:line="258" w:lineRule="auto"/>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9" w:lineRule="exact"/>
        <w:rPr>
          <w:rFonts w:ascii="Arial" w:cs="Arial" w:eastAsia="Arial" w:hAnsi="Arial"/>
          <w:sz w:val="18"/>
          <w:szCs w:val="18"/>
          <w:color w:val="auto"/>
        </w:rPr>
      </w:pPr>
    </w:p>
    <w:p>
      <w:pPr>
        <w:ind w:left="660" w:right="160" w:hanging="328"/>
        <w:spacing w:after="0" w:line="261" w:lineRule="auto"/>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year ended June 30, 2013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64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796,049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395,919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(18,301)</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Exercisable</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126,714</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5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75,239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fair values of options granted have been estimated on the date of grant using the Black-Scholes option-pricing model using the following weighted-average assumptions.</w:t>
      </w:r>
    </w:p>
    <w:p>
      <w:pPr>
        <w:spacing w:after="0" w:line="162" w:lineRule="exact"/>
        <w:rPr>
          <w:sz w:val="20"/>
          <w:szCs w:val="20"/>
          <w:color w:val="auto"/>
        </w:rPr>
      </w:pPr>
    </w:p>
    <w:p>
      <w:pPr>
        <w:jc w:val="center"/>
        <w:ind w:left="280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6350</wp:posOffset>
            </wp:positionV>
            <wp:extent cx="1912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6140"/>
        <w:spacing w:after="0"/>
        <w:tabs>
          <w:tab w:leader="none" w:pos="77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5486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48630" cy="137160"/>
                    </a:xfrm>
                    <a:prstGeom prst="rect">
                      <a:avLst/>
                    </a:prstGeom>
                    <a:noFill/>
                  </pic:spPr>
                </pic:pic>
              </a:graphicData>
            </a:graphic>
          </wp:anchor>
        </w:drawing>
      </w:r>
    </w:p>
    <w:p>
      <w:pPr>
        <w:sectPr>
          <w:pgSz w:w="11900" w:h="16911" w:orient="portrait"/>
          <w:cols w:equalWidth="0" w:num="1">
            <w:col w:w="11380"/>
          </w:cols>
          <w:pgMar w:left="240" w:top="125" w:right="279" w:bottom="0" w:gutter="0" w:footer="0" w:header="0"/>
        </w:sect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line="200" w:lineRule="exact"/>
              <w:rPr>
                <w:sz w:val="20"/>
                <w:szCs w:val="20"/>
                <w:color w:val="auto"/>
              </w:rPr>
            </w:pPr>
            <w:r>
              <w:rPr>
                <w:rFonts w:ascii="Arial" w:cs="Arial" w:eastAsia="Arial" w:hAnsi="Arial"/>
                <w:sz w:val="18"/>
                <w:szCs w:val="18"/>
                <w:color w:val="auto"/>
              </w:rPr>
              <w:t>Assumptions:</w:t>
            </w:r>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3680" w:type="dxa"/>
            <w:vAlign w:val="bottom"/>
          </w:tcPr>
          <w:p>
            <w:pPr>
              <w:jc w:val="right"/>
              <w:ind w:right="510"/>
              <w:spacing w:after="0"/>
              <w:rPr>
                <w:sz w:val="20"/>
                <w:szCs w:val="20"/>
                <w:color w:val="auto"/>
              </w:rPr>
            </w:pPr>
            <w:r>
              <w:rPr>
                <w:rFonts w:ascii="Arial" w:cs="Arial" w:eastAsia="Arial" w:hAnsi="Arial"/>
                <w:sz w:val="18"/>
                <w:szCs w:val="18"/>
                <w:color w:val="auto"/>
              </w:rPr>
              <w:t>3.86%</w:t>
            </w:r>
          </w:p>
        </w:tc>
        <w:tc>
          <w:tcPr>
            <w:tcW w:w="1060" w:type="dxa"/>
            <w:vAlign w:val="bottom"/>
          </w:tcPr>
          <w:p>
            <w:pPr>
              <w:jc w:val="right"/>
              <w:spacing w:after="0"/>
              <w:rPr>
                <w:sz w:val="20"/>
                <w:szCs w:val="20"/>
                <w:color w:val="auto"/>
              </w:rPr>
            </w:pPr>
            <w:r>
              <w:rPr>
                <w:rFonts w:ascii="Arial" w:cs="Arial" w:eastAsia="Arial" w:hAnsi="Arial"/>
                <w:sz w:val="18"/>
                <w:szCs w:val="18"/>
                <w:color w:val="auto"/>
              </w:rPr>
              <w:t>2.81%</w:t>
            </w:r>
          </w:p>
        </w:tc>
      </w:tr>
    </w:tbl>
    <w:p>
      <w:pPr>
        <w:sectPr>
          <w:pgSz w:w="11900" w:h="16911" w:orient="portrait"/>
          <w:cols w:equalWidth="0" w:num="1">
            <w:col w:w="11380"/>
          </w:cols>
          <w:pgMar w:left="240" w:top="125" w:right="279" w:bottom="0" w:gutter="0" w:footer="0" w:header="0"/>
          <w:type w:val="continuous"/>
        </w:sectPr>
      </w:pPr>
    </w:p>
    <w:bookmarkStart w:id="59" w:name="page60"/>
    <w:bookmarkEnd w:id="5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2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 years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 years</w:t>
            </w: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30.47%</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33.86%</w:t>
            </w: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2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1.26%</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Weighted average fair value per option</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$1.79</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$4.39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expected volatility is based on historical volatility. The risk-free interest rate is for periods within the expected life of the awards, and is based on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yield curve in effect at the time of the grant. The expected life is based on expected exercise experience.</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year ended June 30, 2013, certain provisions of outstanding stock options with market-based conditions were modified. The options, consisting of 237,616 shares, were granted to three executives of the Company in December of 2010 and were to vest in three equal tranches upon the Company’s common stock reaching applicable hurdle prices over specified time periods. The applicable hurdle price varies depending on the number of years that have elapsed since the date of grant. With respect to the first tranche, the applicable hurdle price was $27.86 for the period from December 29, 2010 through December 29, 2015; $31.34 for the period from December 29, 2015 through December 29, 2016; and $34.83 for the period from December 29, 2016 through December 29, 2017. With respect to the second tranche, the hurdle price was $31.34 for the period from December 29, 2010 through December 29, 2016; and $34.83 for the period from December 29, 2016 through December 29, 2017. With respect to the third tranche, the hurdle price was $34.83 for the period from December 29, 2010 through December 29,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Committee approved amending the hurdle prices as follows: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the first tranche, the applicable hurdle price is $16.43 for the period from December 29, 2010 through December 28, 2015; $18.58 for the period from December 29, 2015 through December 28, 2016; and $20.77 for the period from December 29, 2016 through December 28, 2017. With respect to the second tranche, the hurdle price is $18.58 for the period from December 29, 2010 through December 28, 2016; and $20.77 for the period from December 29, 2016 through December 28, 2017. With respect to the third tranche, the hurdle price is $20.77 for the period from December 29, 2010 through December 28, 2017.</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Except as modified by this amendment, all other terms and conditions of each of the outstanding performance-based stock options, including the option exercise price of $13.93 per share, remain in full force and effect.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incremental expense resulting from the modification was calculated as the difference between the stock option’s fair value immediately before and after the modification using the Hull-White option pricing model and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26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3.72%</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2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 years</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28.45% - 32.84%</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2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 - 1.54%</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Incremental weighted average fair value per option</w:t>
            </w:r>
          </w:p>
        </w:tc>
        <w:tc>
          <w:tcPr>
            <w:tcW w:w="2660" w:type="dxa"/>
            <w:vAlign w:val="bottom"/>
          </w:tcPr>
          <w:p>
            <w:pPr>
              <w:jc w:val="right"/>
              <w:ind w:right="30"/>
              <w:spacing w:after="0"/>
              <w:rPr>
                <w:sz w:val="20"/>
                <w:szCs w:val="20"/>
                <w:color w:val="auto"/>
              </w:rPr>
            </w:pPr>
            <w:r>
              <w:rPr>
                <w:rFonts w:ascii="Arial" w:cs="Arial" w:eastAsia="Arial" w:hAnsi="Arial"/>
                <w:sz w:val="18"/>
                <w:szCs w:val="18"/>
                <w:color w:val="auto"/>
              </w:rPr>
              <w:t>$0.52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June 30,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Options Exercisable</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16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Weighted Average</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3"/>
              </w:rPr>
              <w:t>Weighted Average</w:t>
            </w:r>
          </w:p>
        </w:tc>
        <w:tc>
          <w:tcPr>
            <w:tcW w:w="3260" w:type="dxa"/>
            <w:vAlign w:val="bottom"/>
            <w:gridSpan w:val="8"/>
          </w:tcPr>
          <w:p>
            <w:pPr>
              <w:jc w:val="right"/>
              <w:ind w:right="460"/>
              <w:spacing w:after="0" w:line="119" w:lineRule="exact"/>
              <w:rPr>
                <w:sz w:val="20"/>
                <w:szCs w:val="20"/>
                <w:color w:val="auto"/>
              </w:rPr>
            </w:pPr>
            <w:r>
              <w:rPr>
                <w:rFonts w:ascii="Arial" w:cs="Arial" w:eastAsia="Arial" w:hAnsi="Arial"/>
                <w:sz w:val="13"/>
                <w:szCs w:val="13"/>
                <w:b w:val="1"/>
                <w:bCs w:val="1"/>
                <w:color w:val="auto"/>
                <w:w w:val="99"/>
              </w:rPr>
              <w:t>(Dollars in thousands, except per share data)</w:t>
            </w: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2"/>
                <w:szCs w:val="12"/>
                <w:color w:val="auto"/>
              </w:rPr>
            </w:pP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Exercise Price</w:t>
            </w:r>
          </w:p>
        </w:tc>
        <w:tc>
          <w:tcPr>
            <w:tcW w:w="1140" w:type="dxa"/>
            <w:vAlign w:val="bottom"/>
            <w:gridSpan w:val="2"/>
            <w:vMerge w:val="continue"/>
          </w:tcPr>
          <w:p>
            <w:pPr>
              <w:spacing w:after="0"/>
              <w:rPr>
                <w:sz w:val="14"/>
                <w:szCs w:val="14"/>
                <w:color w:val="auto"/>
              </w:rPr>
            </w:pPr>
          </w:p>
        </w:tc>
        <w:tc>
          <w:tcPr>
            <w:tcW w:w="1300" w:type="dxa"/>
            <w:vAlign w:val="bottom"/>
          </w:tcPr>
          <w:p>
            <w:pPr>
              <w:ind w:left="220"/>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Intrinsic Value</w:t>
            </w:r>
          </w:p>
        </w:tc>
        <w:tc>
          <w:tcPr>
            <w:tcW w:w="12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vMerge w:val="continue"/>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Remaining Life</w:t>
            </w: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395,919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7"/>
              </w:rPr>
              <w:t>9.58 years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9.58 years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32,500</w:t>
            </w:r>
          </w:p>
        </w:tc>
        <w:tc>
          <w:tcPr>
            <w:tcW w:w="1300" w:type="dxa"/>
            <w:vAlign w:val="bottom"/>
          </w:tcPr>
          <w:p>
            <w:pPr>
              <w:ind w:left="46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12.63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ind w:left="460"/>
              <w:spacing w:after="0"/>
              <w:rPr>
                <w:sz w:val="20"/>
                <w:szCs w:val="20"/>
                <w:color w:val="auto"/>
              </w:rPr>
            </w:pPr>
            <w:r>
              <w:rPr>
                <w:rFonts w:ascii="Arial" w:cs="Arial" w:eastAsia="Arial" w:hAnsi="Arial"/>
                <w:sz w:val="18"/>
                <w:szCs w:val="18"/>
                <w:color w:val="auto"/>
              </w:rPr>
              <w:t>8.58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583,238</w:t>
            </w:r>
          </w:p>
        </w:tc>
        <w:tc>
          <w:tcPr>
            <w:tcW w:w="1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94,312</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14.52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162,010</w:t>
            </w:r>
          </w:p>
        </w:tc>
        <w:tc>
          <w:tcPr>
            <w:tcW w:w="1300" w:type="dxa"/>
            <w:vAlign w:val="bottom"/>
          </w:tcPr>
          <w:p>
            <w:pPr>
              <w:ind w:left="46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32,402</w:t>
            </w:r>
          </w:p>
        </w:tc>
        <w:tc>
          <w:tcPr>
            <w:tcW w:w="1380" w:type="dxa"/>
            <w:vAlign w:val="bottom"/>
          </w:tcPr>
          <w:p>
            <w:pPr>
              <w:ind w:left="46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7.50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for the year ended June 30, 2013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94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13,026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63,202</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(5,210)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71,018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At June 30, 2013 and 2012, the Company has accrued a liability of $48 thousand representing the maximum cash payment for performance-based stock appreciation rights (“SARs”) granted in the fiscal year ended June 30, 2011. The SARs expire in December of 2020.</w:t>
      </w:r>
    </w:p>
    <w:p>
      <w:pPr>
        <w:spacing w:after="0" w:line="14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Stock-based compensation totaled $563 thousand for the year ended June 30, 2013 and $445 thousand for the year ended June 30, 2012. The tax benefit related to stock-based compensation expensed totaled $191thousand for the year ended June 30, 2013 and $151 thousand for the year ended June 30, 2012. The estimated amount and timing of future pre-tax stock-based compensation expense to be recognized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Year Ending June 30,</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5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Restricted stock</w:t>
            </w:r>
          </w:p>
        </w:tc>
        <w:tc>
          <w:tcPr>
            <w:tcW w:w="8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118"/>
        </w:trPr>
        <w:tc>
          <w:tcPr>
            <w:tcW w:w="25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bl>
    <w:p>
      <w:pPr>
        <w:sectPr>
          <w:pgSz w:w="11900" w:h="16900" w:orient="portrait"/>
          <w:cols w:equalWidth="0" w:num="1">
            <w:col w:w="11420"/>
          </w:cols>
          <w:pgMar w:left="240" w:top="140" w:right="239" w:bottom="0" w:gutter="0" w:footer="0" w:header="0"/>
        </w:sectPr>
      </w:pPr>
    </w:p>
    <w:bookmarkStart w:id="60" w:name="page61"/>
    <w:bookmarkEnd w:id="60"/>
    <w:p>
      <w:pPr>
        <w:ind w:left="2560"/>
        <w:spacing w:after="0"/>
        <w:tabs>
          <w:tab w:leader="none" w:pos="3420" w:val="left"/>
          <w:tab w:leader="none" w:pos="3920" w:val="left"/>
          <w:tab w:leader="none" w:pos="4800" w:val="left"/>
          <w:tab w:leader="none" w:pos="5300" w:val="left"/>
          <w:tab w:leader="none" w:pos="6200" w:val="left"/>
          <w:tab w:leader="none" w:pos="6680" w:val="left"/>
          <w:tab w:leader="none" w:pos="7560" w:val="left"/>
          <w:tab w:leader="none" w:pos="8040" w:val="left"/>
          <w:tab w:leader="none" w:pos="8900" w:val="left"/>
          <w:tab w:leader="none" w:pos="9380" w:val="left"/>
          <w:tab w:leader="none" w:pos="10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641</w:t>
        <w:tab/>
        <w:t>$</w:t>
      </w:r>
      <w:r>
        <w:rPr>
          <w:sz w:val="20"/>
          <w:szCs w:val="20"/>
          <w:color w:val="auto"/>
        </w:rPr>
        <w:tab/>
      </w:r>
      <w:r>
        <w:rPr>
          <w:rFonts w:ascii="Arial" w:cs="Arial" w:eastAsia="Arial" w:hAnsi="Arial"/>
          <w:sz w:val="18"/>
          <w:szCs w:val="18"/>
          <w:color w:val="auto"/>
        </w:rPr>
        <w:t>667</w:t>
        <w:tab/>
        <w:t>$</w:t>
      </w:r>
      <w:r>
        <w:rPr>
          <w:sz w:val="20"/>
          <w:szCs w:val="20"/>
          <w:color w:val="auto"/>
        </w:rPr>
        <w:tab/>
      </w:r>
      <w:r>
        <w:rPr>
          <w:rFonts w:ascii="Arial" w:cs="Arial" w:eastAsia="Arial" w:hAnsi="Arial"/>
          <w:sz w:val="18"/>
          <w:szCs w:val="18"/>
          <w:color w:val="auto"/>
        </w:rPr>
        <w:t>542</w:t>
        <w:tab/>
        <w:t>$</w:t>
      </w:r>
      <w:r>
        <w:rPr>
          <w:sz w:val="20"/>
          <w:szCs w:val="20"/>
          <w:color w:val="auto"/>
        </w:rPr>
        <w:tab/>
      </w:r>
      <w:r>
        <w:rPr>
          <w:rFonts w:ascii="Arial" w:cs="Arial" w:eastAsia="Arial" w:hAnsi="Arial"/>
          <w:sz w:val="18"/>
          <w:szCs w:val="18"/>
          <w:color w:val="auto"/>
        </w:rPr>
        <w:t>341</w:t>
        <w:tab/>
        <w:t>$</w:t>
      </w:r>
      <w:r>
        <w:rPr>
          <w:sz w:val="20"/>
          <w:szCs w:val="20"/>
          <w:color w:val="auto"/>
        </w:rPr>
        <w:tab/>
      </w:r>
      <w:r>
        <w:rPr>
          <w:rFonts w:ascii="Arial" w:cs="Arial" w:eastAsia="Arial" w:hAnsi="Arial"/>
          <w:sz w:val="18"/>
          <w:szCs w:val="18"/>
          <w:color w:val="auto"/>
        </w:rPr>
        <w:t>152</w:t>
        <w:tab/>
        <w:t>$</w:t>
      </w:r>
      <w:r>
        <w:rPr>
          <w:sz w:val="20"/>
          <w:szCs w:val="20"/>
          <w:color w:val="auto"/>
        </w:rPr>
        <w:tab/>
      </w:r>
      <w:r>
        <w:rPr>
          <w:rFonts w:ascii="Arial" w:cs="Arial" w:eastAsia="Arial" w:hAnsi="Arial"/>
          <w:sz w:val="15"/>
          <w:szCs w:val="15"/>
          <w:color w:val="auto"/>
        </w:rPr>
        <w:t>2,343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57670" cy="16319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Contingent Liabilities and Other Off-Balance Sheet Risks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 as of June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52"/>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Residential real estate mortgages</w:t>
            </w:r>
          </w:p>
        </w:tc>
        <w:tc>
          <w:tcPr>
            <w:tcW w:w="19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12,445</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loans</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mortgages</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Commercial business loans</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904</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Unused lines of credit</w:t>
            </w:r>
          </w:p>
        </w:tc>
        <w:tc>
          <w:tcPr>
            <w:tcW w:w="1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30,809</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Unadvanced portions of construction loans</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$10 thousand and $6 thousand recorded in other liabilities at June 30, 2013 and 2012, respectively.</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Those guarantees are issued to support private borrowing arrangements. The credit risk involved in issuing letters of credit is essentially the same as that involved in extending loan facilities to customers. As of June 30, 2013 and 2012, the maximum potential amount of the Company’s obligation was $420 thousand and $602 thousand, respectively, for financial and standby letters of credit. The Company’s outstanding letters of credit generally have a term of less than one year. If a letter of credit is drawn upon, the Company may seek recourse through the customer’s underlying line of credit. If the customer’s line of credit is also in default, the Company may take possession of the collateral, if any, securing the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Obligations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leases certain properties used in operations under terms of operating leases that include renewal options. Rental expense under leases totaled $1.0 million for the year ended June 30, 2013 and $817 thousand for the year ended June 30,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Approximate future minimum lease payments over the remaining terms of the Company’s leases at June 30, 2013 are as follows for fiscal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2019 and thereafter</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5" w:gutter="0" w:footer="0" w:header="0"/>
        </w:sectPr>
      </w:pPr>
    </w:p>
    <w:bookmarkStart w:id="61" w:name="page62"/>
    <w:bookmarkEnd w:id="61"/>
    <w:p>
      <w:pPr>
        <w:ind w:left="20"/>
        <w:spacing w:after="0"/>
        <w:tabs>
          <w:tab w:leader="none" w:pos="4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u w:val="single" w:color="auto"/>
          <w:color w:val="auto"/>
        </w:rPr>
        <w:t>Condensed Parent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information for Northeast Bancorp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June 30, 2013</w:t>
            </w: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2012</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4"/>
          </w:tcPr>
          <w:p>
            <w:pPr>
              <w:jc w:val="center"/>
              <w:ind w:right="91"/>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Balance Sheets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568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26,366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54,996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Investment in subsidiary</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96,294</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72,849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common securities of affiliated trusts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Junior subordinated debentures issued to affiliated trusts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8,268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8,106</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10,799</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11,249</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113,802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119,139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124,601</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June 30,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4"/>
          </w:tcPr>
          <w:p>
            <w:pPr>
              <w:jc w:val="center"/>
              <w:ind w:right="91"/>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Statements of Income</w:t>
            </w:r>
          </w:p>
        </w:tc>
        <w:tc>
          <w:tcPr>
            <w:tcW w:w="52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from banking subsidiary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 income</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7"/>
              </w:rPr>
              <w:t>Loss before income tax benefit and equity in undistributed net income of subsidiary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(Loss) income before equity in undistributed net income of subsidiary</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Equity in undistributed net income of subsidiary</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5,597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4"/>
            <w:vMerge w:val="restart"/>
          </w:tcPr>
          <w:p>
            <w:pPr>
              <w:ind w:left="340"/>
              <w:spacing w:after="0"/>
              <w:rPr>
                <w:sz w:val="20"/>
                <w:szCs w:val="20"/>
                <w:color w:val="auto"/>
              </w:rPr>
            </w:pPr>
            <w:r>
              <w:rPr>
                <w:rFonts w:ascii="Arial" w:cs="Arial" w:eastAsia="Arial" w:hAnsi="Arial"/>
                <w:sz w:val="18"/>
                <w:szCs w:val="18"/>
                <w:color w:val="auto"/>
              </w:rPr>
              <w:t>Net income available to common stockholders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4"/>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4,065</w:t>
            </w:r>
          </w:p>
        </w:tc>
        <w:tc>
          <w:tcPr>
            <w:tcW w:w="2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1,771</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June 30,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4"/>
          </w:tcPr>
          <w:p>
            <w:pPr>
              <w:jc w:val="center"/>
              <w:ind w:right="91"/>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8"/>
              </w:rPr>
              <w:t>Statements of Cash Flow</w:t>
            </w:r>
          </w:p>
        </w:tc>
        <w:tc>
          <w:tcPr>
            <w:tcW w:w="4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4"/>
          </w:tcPr>
          <w:p>
            <w:pPr>
              <w:spacing w:after="0" w:line="201" w:lineRule="exact"/>
              <w:rPr>
                <w:sz w:val="20"/>
                <w:szCs w:val="20"/>
                <w:color w:val="auto"/>
              </w:rPr>
            </w:pPr>
            <w:r>
              <w:rPr>
                <w:rFonts w:ascii="Arial" w:cs="Arial" w:eastAsia="Arial" w:hAnsi="Arial"/>
                <w:sz w:val="18"/>
                <w:szCs w:val="18"/>
                <w:color w:val="auto"/>
              </w:rPr>
              <w:t>Adjustments to reconcile net income to net cash (used in) provided by operating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fair value adjustment for borrowings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Undistributed earnings of subsidiary</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Increase in other assets and liabilities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Increase in investment of bank subsidiary</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52,667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Redemption of preferred stock and warrants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(3,863)</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(1,474)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51,193</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51,458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Cash, beginning of year</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54,996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5"/>
            <w:vMerge w:val="restart"/>
          </w:tcPr>
          <w:p>
            <w:pPr>
              <w:jc w:val="right"/>
              <w:ind w:right="980"/>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ectPr>
          <w:pgSz w:w="11900" w:h="16838" w:orient="portrait"/>
          <w:cols w:equalWidth="0" w:num="1">
            <w:col w:w="11460"/>
          </w:cols>
          <w:pgMar w:left="240" w:top="121" w:right="199" w:bottom="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components of other comprehensive (loss) income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Year Ended June 30,</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9"/>
        </w:trPr>
        <w:tc>
          <w:tcPr>
            <w:tcW w:w="3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20" w:type="dxa"/>
            <w:vAlign w:val="bottom"/>
          </w:tcPr>
          <w:p>
            <w:pPr>
              <w:spacing w:after="0"/>
              <w:rPr>
                <w:sz w:val="10"/>
                <w:szCs w:val="10"/>
                <w:color w:val="auto"/>
              </w:rPr>
            </w:pPr>
          </w:p>
        </w:tc>
        <w:tc>
          <w:tcPr>
            <w:tcW w:w="78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After-tax</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40" w:type="dxa"/>
            <w:vAlign w:val="bottom"/>
          </w:tcPr>
          <w:p>
            <w:pPr>
              <w:spacing w:after="0"/>
              <w:rPr>
                <w:sz w:val="10"/>
                <w:szCs w:val="10"/>
                <w:color w:val="auto"/>
              </w:rPr>
            </w:pPr>
          </w:p>
        </w:tc>
      </w:tr>
      <w:tr>
        <w:trPr>
          <w:trHeight w:val="17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(Benefit)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40" w:type="dxa"/>
            <w:vAlign w:val="bottom"/>
            <w:shd w:val="clear" w:color="auto" w:fill="CCEEFF"/>
          </w:tcPr>
          <w:p>
            <w:pPr>
              <w:spacing w:after="0"/>
              <w:rPr>
                <w:sz w:val="20"/>
                <w:szCs w:val="20"/>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 gains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included in net income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Borders>
              <w:top w:val="single" w:sz="8" w:color="CCEEFF"/>
            </w:tcBorders>
            <w:shd w:val="clear" w:color="auto" w:fill="CCEEFF"/>
          </w:tcPr>
          <w:p>
            <w:pPr>
              <w:spacing w:after="0"/>
              <w:rPr>
                <w:sz w:val="18"/>
                <w:szCs w:val="18"/>
                <w:color w:val="auto"/>
              </w:rPr>
            </w:pPr>
          </w:p>
        </w:tc>
      </w:tr>
      <w:tr>
        <w:trPr>
          <w:trHeight w:val="182"/>
        </w:trPr>
        <w:tc>
          <w:tcPr>
            <w:tcW w:w="3580" w:type="dxa"/>
            <w:vAlign w:val="bottom"/>
          </w:tcPr>
          <w:p>
            <w:pPr>
              <w:spacing w:after="0" w:line="182" w:lineRule="exact"/>
              <w:rPr>
                <w:sz w:val="20"/>
                <w:szCs w:val="20"/>
                <w:color w:val="auto"/>
              </w:rPr>
            </w:pPr>
            <w:r>
              <w:rPr>
                <w:rFonts w:ascii="Arial" w:cs="Arial" w:eastAsia="Arial" w:hAnsi="Arial"/>
                <w:sz w:val="18"/>
                <w:szCs w:val="18"/>
                <w:color w:val="auto"/>
                <w:w w:val="97"/>
              </w:rPr>
              <w:t>Change in accumulated loss on effective cash</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flow hedges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02"/>
        </w:trPr>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 gains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net income</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r>
      <w:tr>
        <w:trPr>
          <w:trHeight w:val="210"/>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tcPr>
          <w:p>
            <w:pPr>
              <w:spacing w:after="0"/>
              <w:rPr>
                <w:sz w:val="18"/>
                <w:szCs w:val="18"/>
                <w:color w:val="auto"/>
              </w:rPr>
            </w:pPr>
          </w:p>
        </w:tc>
      </w:tr>
      <w:tr>
        <w:trPr>
          <w:trHeight w:val="22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income</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income is comprised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June 30, 2013</w:t>
            </w: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June 30, 2012</w:t>
            </w:r>
          </w:p>
        </w:tc>
      </w:tr>
      <w:tr>
        <w:trPr>
          <w:trHeight w:val="142"/>
        </w:trPr>
        <w:tc>
          <w:tcPr>
            <w:tcW w:w="4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39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0"/>
        </w:trPr>
        <w:tc>
          <w:tcPr>
            <w:tcW w:w="4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r>
      <w:tr>
        <w:trPr>
          <w:trHeight w:val="210"/>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18"/>
                <w:szCs w:val="18"/>
                <w:color w:val="auto"/>
              </w:rPr>
            </w:pPr>
          </w:p>
        </w:tc>
      </w:tr>
      <w:tr>
        <w:trPr>
          <w:trHeight w:val="22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 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w:t>
      </w:r>
    </w:p>
    <w:p>
      <w:pPr>
        <w:spacing w:after="0" w:line="1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660" w:right="320"/>
        <w:spacing w:after="0" w:line="342" w:lineRule="auto"/>
        <w:rPr>
          <w:sz w:val="20"/>
          <w:szCs w:val="20"/>
          <w:color w:val="auto"/>
        </w:rPr>
      </w:pPr>
      <w:r>
        <w:rPr>
          <w:rFonts w:ascii="Arial" w:cs="Arial" w:eastAsia="Arial" w:hAnsi="Arial"/>
          <w:sz w:val="16"/>
          <w:szCs w:val="16"/>
          <w:color w:val="auto"/>
        </w:rPr>
        <w:t>Level 2 — 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ectPr>
          <w:pgSz w:w="11900" w:h="16838" w:orient="portrait"/>
          <w:cols w:equalWidth="0" w:num="1">
            <w:col w:w="11400"/>
          </w:cols>
          <w:pgMar w:left="240" w:top="125" w:right="259" w:bottom="67" w:gutter="0" w:footer="0" w:header="0"/>
        </w:sectPr>
      </w:pPr>
    </w:p>
    <w:bookmarkStart w:id="63" w:name="page64"/>
    <w:bookmarkEnd w:id="63"/>
    <w:p>
      <w:pPr>
        <w:spacing w:after="0" w:line="87"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i w:val="1"/>
          <w:iCs w:val="1"/>
          <w:color w:val="auto"/>
        </w:rPr>
        <w:t xml:space="preserve">Impaired Loans </w:t>
      </w:r>
      <w:r>
        <w:rPr>
          <w:rFonts w:ascii="Arial" w:cs="Arial" w:eastAsia="Arial" w:hAnsi="Arial"/>
          <w:sz w:val="16"/>
          <w:szCs w:val="16"/>
          <w:color w:val="auto"/>
        </w:rPr>
        <w:t>- Valuations of impaired loans measured at fair value are determined by a review of collateral values. Certain inputs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appraisals are not always observable, and therefore impaired loans are generally categorized as Level 3 within the fair value hierarchy.</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FHLB and Federal Reserve stock </w:t>
      </w:r>
      <w:r>
        <w:rPr>
          <w:rFonts w:ascii="Arial" w:cs="Arial" w:eastAsia="Arial" w:hAnsi="Arial"/>
          <w:sz w:val="18"/>
          <w:szCs w:val="18"/>
          <w:color w:val="auto"/>
        </w:rPr>
        <w:t>- The carrying value of FHLB stock and Federal Reserve stock approximates fair value based on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FHLB and the Federal Reserve.</w:t>
      </w:r>
    </w:p>
    <w:p>
      <w:pPr>
        <w:spacing w:after="0" w:line="170"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i w:val="1"/>
          <w:iCs w:val="1"/>
          <w:color w:val="auto"/>
        </w:rPr>
        <w:t xml:space="preserve">Deposits </w:t>
      </w:r>
      <w:r>
        <w:rPr>
          <w:rFonts w:ascii="Arial" w:cs="Arial" w:eastAsia="Arial" w:hAnsi="Arial"/>
          <w:sz w:val="17"/>
          <w:szCs w:val="17"/>
          <w:color w:val="auto"/>
        </w:rPr>
        <w:t>- The fair value of deposits with no stated maturity, such as noninterest-bearing demand deposits, savings, NOW accounts and money</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3" w:lineRule="exact"/>
        <w:rPr>
          <w:sz w:val="20"/>
          <w:szCs w:val="20"/>
          <w:color w:val="auto"/>
        </w:rPr>
      </w:pPr>
    </w:p>
    <w:p>
      <w:pPr>
        <w:ind w:left="660" w:right="240"/>
        <w:spacing w:after="0" w:line="279" w:lineRule="auto"/>
        <w:rPr>
          <w:sz w:val="20"/>
          <w:szCs w:val="20"/>
          <w:color w:val="auto"/>
        </w:rPr>
      </w:pPr>
      <w:r>
        <w:rPr>
          <w:rFonts w:ascii="Arial" w:cs="Arial" w:eastAsia="Arial" w:hAnsi="Arial"/>
          <w:sz w:val="17"/>
          <w:szCs w:val="17"/>
          <w:i w:val="1"/>
          <w:iCs w:val="1"/>
          <w:color w:val="auto"/>
        </w:rPr>
        <w:t xml:space="preserve">Borrowings </w:t>
      </w:r>
      <w:r>
        <w:rPr>
          <w:rFonts w:ascii="Arial" w:cs="Arial" w:eastAsia="Arial" w:hAnsi="Arial"/>
          <w:sz w:val="17"/>
          <w:szCs w:val="17"/>
          <w:color w:val="auto"/>
        </w:rPr>
        <w:t>- The fair value of the Company’s borrowings with the FHLB is estimated by discounting the cash flows through maturity or the next</w:t>
      </w:r>
      <w:r>
        <w:rPr>
          <w:rFonts w:ascii="Arial" w:cs="Arial" w:eastAsia="Arial" w:hAnsi="Arial"/>
          <w:sz w:val="17"/>
          <w:szCs w:val="17"/>
          <w:i w:val="1"/>
          <w:iCs w:val="1"/>
          <w:color w:val="auto"/>
        </w:rPr>
        <w:t xml:space="preserve"> </w:t>
      </w:r>
      <w:r>
        <w:rPr>
          <w:rFonts w:ascii="Arial" w:cs="Arial" w:eastAsia="Arial" w:hAnsi="Arial"/>
          <w:sz w:val="17"/>
          <w:szCs w:val="17"/>
          <w:color w:val="auto"/>
        </w:rPr>
        <w:t>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2013</w:t>
            </w: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45,333</w:t>
            </w:r>
          </w:p>
        </w:tc>
        <w:tc>
          <w:tcPr>
            <w:tcW w:w="1140" w:type="dxa"/>
            <w:vAlign w:val="bottom"/>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45,333</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76,264</w:t>
            </w:r>
          </w:p>
        </w:tc>
        <w:tc>
          <w:tcPr>
            <w:tcW w:w="114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76,264</w:t>
            </w:r>
          </w:p>
        </w:tc>
        <w:tc>
          <w:tcPr>
            <w:tcW w:w="42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389</w:t>
            </w:r>
          </w:p>
        </w:tc>
        <w:tc>
          <w:tcPr>
            <w:tcW w:w="1140" w:type="dxa"/>
            <w:vAlign w:val="bottom"/>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2012</w:t>
            </w: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45,808</w:t>
            </w:r>
          </w:p>
        </w:tc>
        <w:tc>
          <w:tcPr>
            <w:tcW w:w="1140" w:type="dxa"/>
            <w:vAlign w:val="bottom"/>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45,808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87,456</w:t>
            </w:r>
          </w:p>
        </w:tc>
        <w:tc>
          <w:tcPr>
            <w:tcW w:w="1140" w:type="dxa"/>
            <w:vAlign w:val="bottom"/>
          </w:tcPr>
          <w:p>
            <w:pPr>
              <w:spacing w:after="0"/>
              <w:rPr>
                <w:sz w:val="20"/>
                <w:szCs w:val="20"/>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87,456</w:t>
            </w:r>
          </w:p>
        </w:tc>
        <w:tc>
          <w:tcPr>
            <w:tcW w:w="420" w:type="dxa"/>
            <w:vAlign w:val="bottom"/>
          </w:tcPr>
          <w:p>
            <w:pPr>
              <w:spacing w:after="0"/>
              <w:rPr>
                <w:sz w:val="20"/>
                <w:szCs w:val="20"/>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25" w:orient="portrait"/>
          <w:cols w:equalWidth="0" w:num="1">
            <w:col w:w="11420"/>
          </w:cols>
          <w:pgMar w:left="240" w:top="125"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—interest rate caps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line="176" w:lineRule="exact"/>
              <w:rPr>
                <w:sz w:val="20"/>
                <w:szCs w:val="20"/>
                <w:color w:val="auto"/>
              </w:rPr>
            </w:pPr>
            <w:r>
              <w:rPr>
                <w:rFonts w:ascii="Arial" w:cs="Arial" w:eastAsia="Arial" w:hAnsi="Arial"/>
                <w:sz w:val="18"/>
                <w:szCs w:val="18"/>
                <w:color w:val="auto"/>
              </w:rPr>
              <w:t>Liabilities</w:t>
            </w: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1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580</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90"/>
              </w:rPr>
              <w:t>June 30, 2013</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gridSpan w:val="2"/>
          </w:tcPr>
          <w:p>
            <w:pPr>
              <w:jc w:val="center"/>
              <w:ind w:left="21"/>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1560" w:type="dxa"/>
            <w:vAlign w:val="bottom"/>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2,134</w:t>
            </w:r>
          </w:p>
        </w:tc>
        <w:tc>
          <w:tcPr>
            <w:tcW w:w="440" w:type="dxa"/>
            <w:vAlign w:val="bottom"/>
          </w:tcPr>
          <w:p>
            <w:pPr>
              <w:spacing w:after="0"/>
              <w:rPr>
                <w:sz w:val="20"/>
                <w:szCs w:val="20"/>
                <w:color w:val="auto"/>
              </w:rPr>
            </w:pP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50"/>
        </w:trPr>
        <w:tc>
          <w:tcPr>
            <w:tcW w:w="4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2012</w:t>
            </w: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42"/>
        </w:trPr>
        <w:tc>
          <w:tcPr>
            <w:tcW w:w="4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w:t>
            </w:r>
          </w:p>
        </w:tc>
        <w:tc>
          <w:tcPr>
            <w:tcW w:w="44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c>
          <w:tcPr>
            <w:tcW w:w="1560" w:type="dxa"/>
            <w:vAlign w:val="bottom"/>
          </w:tcPr>
          <w:p>
            <w:pPr>
              <w:spacing w:after="0"/>
              <w:rPr>
                <w:sz w:val="20"/>
                <w:szCs w:val="20"/>
                <w:color w:val="auto"/>
              </w:rPr>
            </w:pPr>
          </w:p>
        </w:tc>
      </w:tr>
      <w:tr>
        <w:trPr>
          <w:trHeight w:val="418"/>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82</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2"/>
        </w:trPr>
        <w:tc>
          <w:tcPr>
            <w:tcW w:w="4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12"/>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Fair Value Measurements at June 30, 2013</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32"/>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65,934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65,934</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65,934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121,597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121,597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5,721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5,721</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5,721</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8,602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434,233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444,988</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484,623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449,857</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449,857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28,040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29,404</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29,404</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25,397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26,092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8,268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7,594</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212"/>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Fair Value Measurements at June 30, 2012</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32"/>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128,274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128,274</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128,274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133,264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133,264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5,473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5,473</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5,473</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355,430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374,062</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422,188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425,782</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425,782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43,450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45,747</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45,747</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66,183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67,314</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67,314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1,209</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1,209</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8,597</w:t>
            </w:r>
          </w:p>
        </w:tc>
        <w:tc>
          <w:tcPr>
            <w:tcW w:w="44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w:t>
      </w:r>
    </w:p>
    <w:p>
      <w:pPr>
        <w:spacing w:after="0" w:line="229"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The Company has stand alone derivative financial instruments in the form of interest rate caps that derive their value from a fee paid and are adjusted to fair value based on index and strike rate, and a swap agreement that derives its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is limited to the net difference between the calculated amounts to be received and paid, if any. Such differences, which represent the fair value of the derivative instruments, are reflected on the Company’s balance sheet as derivative assets and derivative liabilities.</w:t>
      </w:r>
    </w:p>
    <w:p>
      <w:pPr>
        <w:spacing w:after="0" w:line="15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is exposed to credit-related losses in the event of nonperformance by the counterparties to these agreements. The Company controls the credit risk of its financial contracts through credit approvals, limits and monitoring procedures, and does not expect any counterparties to fail their obligations. Institutional counterparties must have an investment grade credit rating and be approved by the Company’s Board of Directors. The Company deals only with</w:t>
      </w:r>
    </w:p>
    <w:p>
      <w:pPr>
        <w:sectPr>
          <w:pgSz w:w="11900" w:h="16838" w:orient="portrait"/>
          <w:cols w:equalWidth="0" w:num="1">
            <w:col w:w="11460"/>
          </w:cols>
          <w:pgMar w:left="240" w:top="140" w:right="199" w:bottom="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color w:val="auto"/>
        </w:rPr>
        <w:t>primary dealers. The Company’s credit exposure on interest rate swaps is limited to the net positive fair value and accrued interest of all swaps with each counterparty.</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currently holds derivative instruments that contain credit-risk related features that are in a net liability position, which may require that collateral be assigned to dealer banks. At June 30, 2013 and 2012, the Company had cash totaling $800 thousand in a margin account with the dealer bank associated with its interest rate swap; no additional collateral was necessary at these dates to immediately settle the interest rate swap.</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Hedging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uses long-term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 To meet this objective, management entered into interest rate caps whereby the Company receives variable interest payments above a specified interest rate and swap agreements whereby the Company receives variable interest rate payments and makes fixed interest rate payments during the contract period.</w:t>
      </w:r>
    </w:p>
    <w:p>
      <w:pPr>
        <w:spacing w:after="0" w:line="17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holds two interest rate caps that expire on September 30, 2014. The swap agreement provides for the Company to receive payments at a variable rate determined by a specified index (three month LIBOR) in exchange for making payments at a fixed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During the years ended June 30, 2013 and 2012, no interest rate cap or swap agreements were terminated prior to maturity. Changes in the fair value of interest rate caps and swaps designated as hedging instruments of the variability of cash flows associated with long-term debt are reported in other comprehensive income. These amounts subsequently are reclassified into interest expense as a yield adjustment in the same period in which the related interest on the long-term debt affects earnings. Risk management results for the year ended June 30, 2013 and 2012 related to the balance sheet hedging of long-term debt indicates that the hedges were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amounts recognized in income related to both hedge ineffectiveness and amounts excluded from effectiveness testing.</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40" w:type="dxa"/>
            <w:vAlign w:val="bottom"/>
            <w:gridSpan w:val="5"/>
          </w:tcPr>
          <w:p>
            <w:pPr>
              <w:jc w:val="right"/>
              <w:ind w:right="105"/>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13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545"/>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5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shd w:val="clear" w:color="auto" w:fill="CCEEFF"/>
          </w:tcPr>
          <w:p>
            <w:pPr>
              <w:spacing w:after="0"/>
              <w:rPr>
                <w:sz w:val="18"/>
                <w:szCs w:val="18"/>
                <w:color w:val="auto"/>
              </w:rPr>
            </w:pPr>
          </w:p>
        </w:tc>
      </w:tr>
      <w:tr>
        <w:trPr>
          <w:trHeight w:val="210"/>
        </w:trPr>
        <w:tc>
          <w:tcPr>
            <w:tcW w:w="2500" w:type="dxa"/>
            <w:vAlign w:val="bottom"/>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expects to record interest income of $100 thousand related to interest rate swap ineffectiveness in the next twelve months. The Company expects to record interest expense of $32 thousand related to its purchased interest rate caps 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 2013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 2012</w:t>
            </w:r>
          </w:p>
        </w:tc>
        <w:tc>
          <w:tcPr>
            <w:tcW w:w="2720" w:type="dxa"/>
            <w:vAlign w:val="bottom"/>
          </w:tcPr>
          <w:p>
            <w:pPr>
              <w:spacing w:after="0"/>
              <w:rPr>
                <w:sz w:val="14"/>
                <w:szCs w:val="14"/>
                <w:color w:val="auto"/>
              </w:rPr>
            </w:pPr>
          </w:p>
        </w:tc>
      </w:tr>
      <w:tr>
        <w:trPr>
          <w:trHeight w:val="119"/>
        </w:trPr>
        <w:tc>
          <w:tcPr>
            <w:tcW w:w="4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8"/>
              <w:spacing w:after="0" w:line="119" w:lineRule="exact"/>
              <w:rPr>
                <w:sz w:val="20"/>
                <w:szCs w:val="20"/>
                <w:color w:val="auto"/>
              </w:rPr>
            </w:pPr>
            <w:r>
              <w:rPr>
                <w:rFonts w:ascii="Arial" w:cs="Arial" w:eastAsia="Arial" w:hAnsi="Arial"/>
                <w:sz w:val="13"/>
                <w:szCs w:val="13"/>
                <w:b w:val="1"/>
                <w:bCs w:val="1"/>
                <w:color w:val="auto"/>
              </w:rPr>
              <w:t>Interest</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8"/>
              <w:spacing w:after="0" w:line="119" w:lineRule="exact"/>
              <w:rPr>
                <w:sz w:val="20"/>
                <w:szCs w:val="20"/>
                <w:color w:val="auto"/>
              </w:rPr>
            </w:pPr>
            <w:r>
              <w:rPr>
                <w:rFonts w:ascii="Arial" w:cs="Arial" w:eastAsia="Arial" w:hAnsi="Arial"/>
                <w:sz w:val="13"/>
                <w:szCs w:val="13"/>
                <w:b w:val="1"/>
                <w:bCs w:val="1"/>
                <w:color w:val="auto"/>
              </w:rPr>
              <w:t>Interest</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7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58"/>
              <w:spacing w:after="0"/>
              <w:rPr>
                <w:sz w:val="20"/>
                <w:szCs w:val="20"/>
                <w:color w:val="auto"/>
              </w:rPr>
            </w:pPr>
            <w:r>
              <w:rPr>
                <w:rFonts w:ascii="Arial" w:cs="Arial" w:eastAsia="Arial" w:hAnsi="Arial"/>
                <w:sz w:val="14"/>
                <w:szCs w:val="14"/>
                <w:b w:val="1"/>
                <w:bCs w:val="1"/>
                <w:color w:val="auto"/>
                <w:w w:val="93"/>
              </w:rPr>
              <w:t>Rate Caps</w:t>
            </w:r>
          </w:p>
        </w:tc>
        <w:tc>
          <w:tcPr>
            <w:tcW w:w="1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Rate Swap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58"/>
              <w:spacing w:after="0"/>
              <w:rPr>
                <w:sz w:val="20"/>
                <w:szCs w:val="20"/>
                <w:color w:val="auto"/>
              </w:rPr>
            </w:pPr>
            <w:r>
              <w:rPr>
                <w:rFonts w:ascii="Arial" w:cs="Arial" w:eastAsia="Arial" w:hAnsi="Arial"/>
                <w:sz w:val="14"/>
                <w:szCs w:val="14"/>
                <w:b w:val="1"/>
                <w:bCs w:val="1"/>
                <w:color w:val="auto"/>
                <w:w w:val="93"/>
              </w:rPr>
              <w:t>Rate Caps</w:t>
            </w:r>
          </w:p>
        </w:tc>
        <w:tc>
          <w:tcPr>
            <w:tcW w:w="1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Rate Swap</w:t>
            </w:r>
          </w:p>
        </w:tc>
        <w:tc>
          <w:tcPr>
            <w:tcW w:w="272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5"/>
          </w:tcPr>
          <w:p>
            <w:pPr>
              <w:jc w:val="right"/>
              <w:ind w:right="498"/>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27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Weighted average pay rate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27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receive rate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7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Strike rate based on three month LIBOR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maturity in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27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Unrealized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8"/>
              <w:spacing w:after="0"/>
              <w:rPr>
                <w:sz w:val="20"/>
                <w:szCs w:val="20"/>
                <w:color w:val="auto"/>
              </w:rPr>
            </w:pPr>
            <w:r>
              <w:rPr>
                <w:rFonts w:ascii="Arial" w:cs="Arial" w:eastAsia="Arial" w:hAnsi="Arial"/>
                <w:sz w:val="18"/>
                <w:szCs w:val="18"/>
                <w:color w:val="auto"/>
              </w:rPr>
              <w:t>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8"/>
              <w:spacing w:after="0"/>
              <w:rPr>
                <w:sz w:val="20"/>
                <w:szCs w:val="20"/>
                <w:color w:val="auto"/>
              </w:rPr>
            </w:pPr>
            <w:r>
              <w:rPr>
                <w:rFonts w:ascii="Arial" w:cs="Arial" w:eastAsia="Arial" w:hAnsi="Arial"/>
                <w:sz w:val="18"/>
                <w:szCs w:val="18"/>
                <w:color w:val="auto"/>
              </w:rPr>
              <w:t>69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2720" w:type="dxa"/>
            <w:vAlign w:val="bottom"/>
          </w:tcPr>
          <w:p>
            <w:pPr>
              <w:spacing w:after="0"/>
              <w:rPr>
                <w:sz w:val="20"/>
                <w:szCs w:val="20"/>
                <w:color w:val="auto"/>
              </w:rPr>
            </w:pPr>
          </w:p>
        </w:tc>
      </w:tr>
      <w:tr>
        <w:trPr>
          <w:trHeight w:val="418"/>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37"/>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32"/>
        </w:trPr>
        <w:tc>
          <w:tcPr>
            <w:tcW w:w="4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fair values and location of derivatives designated as hedging instruments.</w:t>
      </w:r>
    </w:p>
    <w:p>
      <w:pPr>
        <w:spacing w:after="0" w:line="217"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June 30, 2013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7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Asset Derivatives</w:t>
            </w:r>
          </w:p>
        </w:tc>
        <w:tc>
          <w:tcPr>
            <w:tcW w:w="2920" w:type="dxa"/>
            <w:vAlign w:val="bottom"/>
            <w:tcBorders>
              <w:top w:val="single" w:sz="8" w:color="auto"/>
            </w:tcBorders>
          </w:tcPr>
          <w:p>
            <w:pPr>
              <w:ind w:left="7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1660" w:type="dxa"/>
            <w:vAlign w:val="bottom"/>
            <w:tcBorders>
              <w:top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1780" w:type="dxa"/>
            <w:vAlign w:val="bottom"/>
            <w:vMerge w:val="continue"/>
          </w:tcPr>
          <w:p>
            <w:pPr>
              <w:spacing w:after="0"/>
              <w:rPr>
                <w:sz w:val="16"/>
                <w:szCs w:val="16"/>
                <w:color w:val="auto"/>
              </w:rPr>
            </w:pPr>
          </w:p>
        </w:tc>
        <w:tc>
          <w:tcPr>
            <w:tcW w:w="2920" w:type="dxa"/>
            <w:vAlign w:val="bottom"/>
          </w:tcPr>
          <w:p>
            <w:pPr>
              <w:ind w:left="940"/>
              <w:spacing w:after="0"/>
              <w:rPr>
                <w:sz w:val="20"/>
                <w:szCs w:val="20"/>
                <w:color w:val="auto"/>
              </w:rPr>
            </w:pPr>
            <w:r>
              <w:rPr>
                <w:rFonts w:ascii="Arial" w:cs="Arial" w:eastAsia="Arial" w:hAnsi="Arial"/>
                <w:sz w:val="14"/>
                <w:szCs w:val="14"/>
                <w:b w:val="1"/>
                <w:bCs w:val="1"/>
                <w:color w:val="auto"/>
              </w:rPr>
              <w:t>Balance Sheet Location</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09892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98925"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tabs>
          <w:tab w:leader="none" w:pos="2980" w:val="left"/>
          <w:tab w:leader="none" w:pos="4720" w:val="left"/>
          <w:tab w:leader="none" w:pos="6160" w:val="left"/>
        </w:tabs>
        <w:rPr>
          <w:sz w:val="20"/>
          <w:szCs w:val="20"/>
          <w:color w:val="auto"/>
        </w:rPr>
      </w:pPr>
      <w:r>
        <w:rPr>
          <w:rFonts w:ascii="Arial" w:cs="Arial" w:eastAsia="Arial" w:hAnsi="Arial"/>
          <w:sz w:val="18"/>
          <w:szCs w:val="18"/>
          <w:color w:val="auto"/>
        </w:rPr>
        <w:t>Interest rate caps</w:t>
      </w:r>
      <w:r>
        <w:rPr>
          <w:sz w:val="20"/>
          <w:szCs w:val="20"/>
          <w:color w:val="auto"/>
        </w:rPr>
        <w:tab/>
      </w:r>
      <w:r>
        <w:rPr>
          <w:rFonts w:ascii="Arial" w:cs="Arial" w:eastAsia="Arial" w:hAnsi="Arial"/>
          <w:sz w:val="18"/>
          <w:szCs w:val="18"/>
          <w:color w:val="auto"/>
        </w:rPr>
        <w:t>Other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60"/>
          </w:cols>
          <w:pgMar w:left="240" w:top="125" w:right="199" w:bottom="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7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Liability Derivatives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0"/>
              </w:rPr>
              <w:t>June 30, 2012</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Derivatives</w:t>
            </w:r>
          </w:p>
        </w:tc>
        <w:tc>
          <w:tcPr>
            <w:tcW w:w="2060" w:type="dxa"/>
            <w:vAlign w:val="bottom"/>
          </w:tcPr>
          <w:p>
            <w:pPr>
              <w:jc w:val="center"/>
              <w:ind w:right="462"/>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Liability Derivatives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Troubled Asset Relief Capital Purchase Program</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quarter ended December 31, 2012, the Company paid $4.2 million to redeem, at par value, all shares of preferred stock issued to the U.S. Department of the Treasury (the “UST”) under the Troubled Asset Relief Program (“TARP”). The Company also repurchased the warrant for 67,958 shares of common stock issued to the UST in connection with TARP for $95 thousand during the quarter ended December 31, 2012.</w:t>
      </w:r>
    </w:p>
    <w:p>
      <w:pPr>
        <w:spacing w:after="0" w:line="162"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August 31, 2011, the Company sold customer lists and certain fixed assets of NBIG to local insurance agencies in two separate transactions. The operations of the Company’s wholly-owned subsidiary, Northeast Bank Insurance Group (“NBIG”), have been reclassified as discontinued operations in the consolidated statements of income for the year ended June 30, 2012, with no effect on previously reported net income or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sale transactions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 proceeds</w:t>
            </w:r>
          </w:p>
        </w:tc>
        <w:tc>
          <w:tcPr>
            <w:tcW w:w="5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lists and other intangible assets, net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Fixed assets, net of accumulated depreciation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other direct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Pre-tax gain recognized</w:t>
            </w: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operations of NBIG.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Insurance commissions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 (expense)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noninterest income</w:t>
            </w:r>
          </w:p>
        </w:tc>
        <w:tc>
          <w:tcPr>
            <w:tcW w:w="2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Noninterest expense: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amortization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Income from discontinued operations before income tax expense</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hanging="474"/>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has evaluated the impact of events that have occurred subsequent to June 30, 2013 through the date the consolidated financial statements were filed with the United States Securities and Exchange Commission. Based on this evaluation, the Company has determined none of these events were required to be recognized or disclosed in the consolidated financial statements and related notes.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ectPr>
          <w:pgSz w:w="11900" w:h="16838" w:orient="portrait"/>
          <w:cols w:equalWidth="0" w:num="1">
            <w:col w:w="11460"/>
          </w:cols>
          <w:pgMar w:left="240" w:top="333" w:right="199" w:bottom="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440" w:right="20"/>
        <w:spacing w:after="0" w:line="290"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its disclosure controls and procedures, as defined in Exchange Act Rules 13a-15(e) and 15d-15(e). Based upon the evaluation, the Company’s Chief Executive Officer and Chief Financial Officer concluded that as of June 30, 2013, the Company’s disclosure controls and procedures are effective. Disclosure controls and procedures are controls and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In addition, no change in our internal control over financial reporting (as defined in Rule 13a-15(f) under the Securities Exchange Act of 1934) occurred during the fourth quarter of our fiscal year ended June 30, 2013 that has materially affected, or is reasonably likely to materially affect, our internal control over financial reporting.</w:t>
      </w:r>
    </w:p>
    <w:p>
      <w:pPr>
        <w:spacing w:after="0" w:line="166"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its Chief Executive Officer and Chief Financial Officer, of the effectiveness of the design and operation of our internal controls and procedures over financial reporting (as defined in Rule 13a-15(e) of the Exchange Act) as of the end of the period covered by this annual report.</w:t>
      </w:r>
    </w:p>
    <w:p>
      <w:pPr>
        <w:spacing w:after="0" w:line="181" w:lineRule="exact"/>
        <w:rPr>
          <w:sz w:val="20"/>
          <w:szCs w:val="20"/>
          <w:color w:val="auto"/>
        </w:rPr>
      </w:pPr>
    </w:p>
    <w:p>
      <w:pPr>
        <w:ind w:left="440" w:right="20"/>
        <w:spacing w:after="0" w:line="268"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controls over financial reporting. The standard measures adopted by management in making its evaluation are the measures in </w:t>
      </w:r>
      <w:r>
        <w:rPr>
          <w:rFonts w:ascii="Arial" w:cs="Arial" w:eastAsia="Arial" w:hAnsi="Arial"/>
          <w:sz w:val="17"/>
          <w:szCs w:val="17"/>
          <w:i w:val="1"/>
          <w:iCs w:val="1"/>
          <w:color w:val="auto"/>
        </w:rPr>
        <w:t>Interest Control—Integrated Framework</w:t>
      </w:r>
      <w:r>
        <w:rPr>
          <w:rFonts w:ascii="Arial" w:cs="Arial" w:eastAsia="Arial" w:hAnsi="Arial"/>
          <w:sz w:val="17"/>
          <w:szCs w:val="17"/>
          <w:color w:val="auto"/>
        </w:rPr>
        <w:t xml:space="preserve"> published by the Committee of Sponsoring Organizations of the Treadway Commission. We do not expect that our disclosure controls and procedures will prevent all error and all fraud. A control system, no matter how well designed and operated, can provide only reasonable, not absolute, assurance that the control system’s objective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errors, and instances of fraud, if any, within the Company have been or will be detected. The inherent limitations include, among other things, the realities that judgments in decision-making can be faulty, and that breakdowns can occur because of simple error or mistake. Controls and procedures also can be circumvented by the individual acts of some persons, by collusion of two or more people, or by management or employee override of the controls and procedures. The design of any system of controls and procedures is based in part upon certain assumptions about the likelihood of future events, and there can be no assurance that any design will succeed in achieving its stated goals under all potential future conditions. Over time, controls and procedures may become inadequate because of changes in conditions or deterioration in the degree of compliance with its policies or procedures. Because of the inherent limitation in a cost-effective control system, misstatements due to error or fraud may occur and not be detected.</w:t>
      </w:r>
    </w:p>
    <w:p>
      <w:pPr>
        <w:spacing w:after="0" w:line="185" w:lineRule="exact"/>
        <w:rPr>
          <w:sz w:val="20"/>
          <w:szCs w:val="20"/>
          <w:color w:val="auto"/>
        </w:rPr>
      </w:pPr>
    </w:p>
    <w:p>
      <w:pPr>
        <w:ind w:left="440" w:right="300"/>
        <w:spacing w:after="0" w:line="264" w:lineRule="auto"/>
        <w:rPr>
          <w:sz w:val="20"/>
          <w:szCs w:val="20"/>
          <w:color w:val="auto"/>
        </w:rPr>
      </w:pPr>
      <w:r>
        <w:rPr>
          <w:rFonts w:ascii="Arial" w:cs="Arial" w:eastAsia="Arial" w:hAnsi="Arial"/>
          <w:sz w:val="18"/>
          <w:szCs w:val="18"/>
          <w:color w:val="auto"/>
        </w:rPr>
        <w:t>Based on their evaluation of disclosure controls and procedures, our Chief Executive Officer and Chief Financial Officer concluded, subject to the limitations described above, that our internal controls and procedures over financial reporting as of the end of the period covered by this report were effective and that there were no material weaknesses.</w:t>
      </w:r>
    </w:p>
    <w:p>
      <w:pPr>
        <w:spacing w:after="0" w:line="181" w:lineRule="exact"/>
        <w:rPr>
          <w:sz w:val="20"/>
          <w:szCs w:val="20"/>
          <w:color w:val="auto"/>
        </w:rPr>
      </w:pPr>
    </w:p>
    <w:p>
      <w:pPr>
        <w:ind w:left="440" w:right="60"/>
        <w:spacing w:after="0" w:line="264"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our internal controls, subsequent to the date the Chief Executive Officer and Chief Financial Officer completed their evaluation, including any corrective actions with regard to significant deficiencies or material weaknesses.</w:t>
      </w:r>
    </w:p>
    <w:p>
      <w:pPr>
        <w:spacing w:after="0" w:line="181" w:lineRule="exact"/>
        <w:rPr>
          <w:sz w:val="20"/>
          <w:szCs w:val="20"/>
          <w:color w:val="auto"/>
        </w:rPr>
      </w:pPr>
    </w:p>
    <w:p>
      <w:pPr>
        <w:ind w:left="440" w:right="200"/>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rules of the Securities Exchange Commission that permit the Company to provide only management’s report in this annual report.</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information required by Item 10 is included in the Proxy Statement relating to our 2013 Annual Meeting of Stockholders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information required by Item 11 is included in the Proxy Statement relating to our 2013 Annual Meeting of Stockholders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Stockholders</w:t>
      </w:r>
    </w:p>
    <w:p>
      <w:pPr>
        <w:spacing w:after="0" w:line="229"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information required by Item 12 is included in the Proxy Statement relating to our 2013 Annual Meeting of Stockholders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information required by Item 13 is included in the Proxy Statement relating to our 2013 Annual Meeting of Stockholders and is incorporated herein by reference.</w:t>
      </w:r>
    </w:p>
    <w:p>
      <w:pPr>
        <w:sectPr>
          <w:pgSz w:w="11900" w:h="16838" w:orient="portrait"/>
          <w:cols w:equalWidth="0" w:num="1">
            <w:col w:w="11420"/>
          </w:cols>
          <w:pgMar w:left="240" w:top="341" w:right="239" w:bottom="0" w:gutter="0" w:footer="0" w:header="0"/>
        </w:sectPr>
      </w:pPr>
    </w:p>
    <w:bookmarkStart w:id="68" w:name="page69"/>
    <w:bookmarkEnd w:id="68"/>
    <w:p>
      <w:pPr>
        <w:spacing w:after="0" w:line="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information required by Item 14 is included in the Proxy Statement relating to our 2013 Annual Meeting of Stockholders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340" w:right="6820" w:hanging="332"/>
        <w:spacing w:after="0" w:line="601" w:lineRule="auto"/>
        <w:tabs>
          <w:tab w:leader="none" w:pos="337" w:val="left"/>
        </w:tabs>
        <w:numPr>
          <w:ilvl w:val="0"/>
          <w:numId w:val="50"/>
        </w:numPr>
        <w:rPr>
          <w:rFonts w:ascii="Arial" w:cs="Arial" w:eastAsia="Arial" w:hAnsi="Arial"/>
          <w:sz w:val="15"/>
          <w:szCs w:val="15"/>
          <w:color w:val="auto"/>
        </w:rPr>
      </w:pPr>
      <w:r>
        <w:rPr>
          <w:rFonts w:ascii="Arial" w:cs="Arial" w:eastAsia="Arial" w:hAnsi="Arial"/>
          <w:sz w:val="15"/>
          <w:szCs w:val="15"/>
          <w:color w:val="auto"/>
        </w:rPr>
        <w:t>Financial Statements and Financial Statement Schedules Consolidated Balance Sheets as of June 30, 2013 and 2012</w:t>
      </w:r>
    </w:p>
    <w:p>
      <w:pPr>
        <w:ind w:left="340"/>
        <w:spacing w:after="0"/>
        <w:rPr>
          <w:rFonts w:ascii="Arial" w:cs="Arial" w:eastAsia="Arial" w:hAnsi="Arial"/>
          <w:sz w:val="15"/>
          <w:szCs w:val="15"/>
          <w:color w:val="auto"/>
        </w:rPr>
      </w:pPr>
      <w:r>
        <w:rPr>
          <w:rFonts w:ascii="Arial" w:cs="Arial" w:eastAsia="Arial" w:hAnsi="Arial"/>
          <w:sz w:val="18"/>
          <w:szCs w:val="18"/>
          <w:color w:val="auto"/>
        </w:rPr>
        <w:t>Consolidated Statements of Income for the years ended June 30, 2013 and 2012</w:t>
      </w:r>
    </w:p>
    <w:p>
      <w:pPr>
        <w:spacing w:after="0" w:line="225" w:lineRule="exact"/>
        <w:rPr>
          <w:rFonts w:ascii="Arial" w:cs="Arial" w:eastAsia="Arial" w:hAnsi="Arial"/>
          <w:sz w:val="15"/>
          <w:szCs w:val="15"/>
          <w:color w:val="auto"/>
        </w:rPr>
      </w:pPr>
    </w:p>
    <w:p>
      <w:pPr>
        <w:ind w:left="340" w:right="3480"/>
        <w:spacing w:after="0" w:line="530" w:lineRule="auto"/>
        <w:rPr>
          <w:rFonts w:ascii="Arial" w:cs="Arial" w:eastAsia="Arial" w:hAnsi="Arial"/>
          <w:sz w:val="15"/>
          <w:szCs w:val="15"/>
          <w:color w:val="auto"/>
        </w:rPr>
      </w:pPr>
      <w:r>
        <w:rPr>
          <w:rFonts w:ascii="Arial" w:cs="Arial" w:eastAsia="Arial" w:hAnsi="Arial"/>
          <w:sz w:val="17"/>
          <w:szCs w:val="17"/>
          <w:color w:val="auto"/>
        </w:rPr>
        <w:t>Consolidated Statements of Comprehensive Income for the years ended June 30, 2013 and 2012 Consolidated Statements of Changes in Stockholders’ Equity for the years ended June 30, 2013 and 2012 Consolidated Statements of Cash Flows for the years ended June 30, 2013 and 2012</w:t>
      </w:r>
    </w:p>
    <w:p>
      <w:pPr>
        <w:spacing w:after="0" w:line="1"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color w:val="auto"/>
        </w:rPr>
        <w:t>Notes to Consolidated Financial Statements</w:t>
      </w:r>
    </w:p>
    <w:p>
      <w:pPr>
        <w:spacing w:after="0" w:line="225" w:lineRule="exact"/>
        <w:rPr>
          <w:rFonts w:ascii="Arial" w:cs="Arial" w:eastAsia="Arial" w:hAnsi="Arial"/>
          <w:sz w:val="15"/>
          <w:szCs w:val="15"/>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40" w:right="20" w:hanging="413"/>
        <w:spacing w:after="0" w:line="291" w:lineRule="auto"/>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Merger, dated as of March 30, 2010, by and between Northeast Bancorp and FHB Formation LLC (incorporated by reference to Exhibit 2.1 of Northeast Bancorp’s Form 8-K filed with Securities and Exchange Commission on March 31, 2010).</w:t>
      </w:r>
    </w:p>
    <w:p>
      <w:pPr>
        <w:ind w:left="1340" w:right="260" w:hanging="413"/>
        <w:spacing w:after="0" w:line="250" w:lineRule="auto"/>
        <w:tabs>
          <w:tab w:leader="none" w:pos="1320" w:val="left"/>
        </w:tabs>
        <w:rPr>
          <w:sz w:val="20"/>
          <w:szCs w:val="20"/>
          <w:color w:val="auto"/>
        </w:rPr>
      </w:pPr>
      <w:r>
        <w:rPr>
          <w:rFonts w:ascii="Arial" w:cs="Arial" w:eastAsia="Arial" w:hAnsi="Arial"/>
          <w:sz w:val="18"/>
          <w:szCs w:val="18"/>
          <w:color w:val="auto"/>
        </w:rPr>
        <w:t>3.1</w:t>
        <w:tab/>
        <w:t>Amended and Restated Articles of Incorporation of Northeast Bancorp (incorporated by reference to Exhibit 3.1 of Northeast Bancorp’s Current Report on Form 8-K filed on January 5, 2011).</w:t>
      </w:r>
    </w:p>
    <w:p>
      <w:pPr>
        <w:spacing w:after="0" w:line="1" w:lineRule="exact"/>
        <w:rPr>
          <w:sz w:val="20"/>
          <w:szCs w:val="20"/>
          <w:color w:val="auto"/>
        </w:rPr>
      </w:pPr>
    </w:p>
    <w:p>
      <w:pPr>
        <w:ind w:left="1340" w:right="620" w:hanging="413"/>
        <w:spacing w:after="0" w:line="250" w:lineRule="auto"/>
        <w:tabs>
          <w:tab w:leader="none" w:pos="1320" w:val="left"/>
        </w:tabs>
        <w:rPr>
          <w:sz w:val="20"/>
          <w:szCs w:val="20"/>
          <w:color w:val="auto"/>
        </w:rPr>
      </w:pPr>
      <w:r>
        <w:rPr>
          <w:rFonts w:ascii="Arial" w:cs="Arial" w:eastAsia="Arial" w:hAnsi="Arial"/>
          <w:sz w:val="18"/>
          <w:szCs w:val="18"/>
          <w:color w:val="auto"/>
        </w:rPr>
        <w:t>3.2</w:t>
        <w:tab/>
        <w:t>Articles of Amendment to the Amended and Restated Articles of Incorporation of Northeast Bancorp (incorporated by reference to Exhibit 3.1 of Northeast Bancorp’s Current Report on Form 8-K filed on March 22, 2011).</w:t>
      </w:r>
    </w:p>
    <w:p>
      <w:pPr>
        <w:spacing w:after="0" w:line="1" w:lineRule="exact"/>
        <w:rPr>
          <w:sz w:val="20"/>
          <w:szCs w:val="20"/>
          <w:color w:val="auto"/>
        </w:rPr>
      </w:pPr>
    </w:p>
    <w:p>
      <w:pPr>
        <w:ind w:left="1340" w:right="620" w:hanging="413"/>
        <w:spacing w:after="0" w:line="250" w:lineRule="auto"/>
        <w:tabs>
          <w:tab w:leader="none" w:pos="1320" w:val="left"/>
        </w:tabs>
        <w:rPr>
          <w:sz w:val="20"/>
          <w:szCs w:val="20"/>
          <w:color w:val="auto"/>
        </w:rPr>
      </w:pPr>
      <w:r>
        <w:rPr>
          <w:rFonts w:ascii="Arial" w:cs="Arial" w:eastAsia="Arial" w:hAnsi="Arial"/>
          <w:sz w:val="18"/>
          <w:szCs w:val="18"/>
          <w:color w:val="auto"/>
        </w:rPr>
        <w:t>3.3</w:t>
        <w:tab/>
        <w:t>Articles of Amendment to the Amended and Restated Articles of Incorporation of Northeast Bancorp (incorporated by reference to Exhibit 3.1 of Northeast Bancorp’s Current Report on Form 8-K filed on November 29, 2012).</w:t>
      </w:r>
    </w:p>
    <w:p>
      <w:pPr>
        <w:spacing w:after="0" w:line="1" w:lineRule="exact"/>
        <w:rPr>
          <w:sz w:val="20"/>
          <w:szCs w:val="20"/>
          <w:color w:val="auto"/>
        </w:rPr>
      </w:pPr>
    </w:p>
    <w:p>
      <w:pPr>
        <w:ind w:left="1340" w:right="160" w:hanging="413"/>
        <w:spacing w:after="0" w:line="250" w:lineRule="auto"/>
        <w:tabs>
          <w:tab w:leader="none" w:pos="1320" w:val="left"/>
        </w:tabs>
        <w:rPr>
          <w:sz w:val="20"/>
          <w:szCs w:val="20"/>
          <w:color w:val="auto"/>
        </w:rPr>
      </w:pPr>
      <w:r>
        <w:rPr>
          <w:rFonts w:ascii="Arial" w:cs="Arial" w:eastAsia="Arial" w:hAnsi="Arial"/>
          <w:sz w:val="18"/>
          <w:szCs w:val="18"/>
          <w:color w:val="auto"/>
        </w:rPr>
        <w:t>3.4</w:t>
        <w:tab/>
        <w:t>Amended and Restated Bylaws of Northeast Bancorp (incorporated by reference to Exhibit 3.2 of Northeast Bancorp’s Current Report on Form 8-K filed on January 5, 2011).</w:t>
      </w:r>
    </w:p>
    <w:p>
      <w:pPr>
        <w:spacing w:after="0" w:line="1" w:lineRule="exact"/>
        <w:rPr>
          <w:sz w:val="20"/>
          <w:szCs w:val="20"/>
          <w:color w:val="auto"/>
        </w:rPr>
      </w:pPr>
    </w:p>
    <w:p>
      <w:pPr>
        <w:jc w:val="right"/>
        <w:ind w:left="940" w:right="240"/>
        <w:spacing w:after="0" w:line="281" w:lineRule="auto"/>
        <w:rPr>
          <w:sz w:val="20"/>
          <w:szCs w:val="20"/>
          <w:color w:val="auto"/>
        </w:rPr>
      </w:pPr>
      <w:r>
        <w:rPr>
          <w:rFonts w:ascii="Arial" w:cs="Arial" w:eastAsia="Arial" w:hAnsi="Arial"/>
          <w:sz w:val="16"/>
          <w:szCs w:val="16"/>
          <w:color w:val="auto"/>
        </w:rPr>
        <w:t>4.1  Registration Rights Schedule to the Agreement and Plan of Merger, dated as of March 30, 2010, by and between Northeast Bancorp and FHB Formation LLC (incorporated by reference to Amendment No. 1 on Form 10-K/A of Northeast Bancorp filed on March 19, 2012).</w:t>
      </w:r>
    </w:p>
    <w:p>
      <w:pPr>
        <w:spacing w:after="0" w:line="1" w:lineRule="exact"/>
        <w:rPr>
          <w:sz w:val="20"/>
          <w:szCs w:val="20"/>
          <w:color w:val="auto"/>
        </w:rPr>
      </w:pPr>
    </w:p>
    <w:p>
      <w:pPr>
        <w:jc w:val="center"/>
        <w:ind w:left="800" w:right="180"/>
        <w:spacing w:after="0" w:line="265" w:lineRule="auto"/>
        <w:rPr>
          <w:sz w:val="20"/>
          <w:szCs w:val="20"/>
          <w:color w:val="auto"/>
        </w:rPr>
      </w:pPr>
      <w:r>
        <w:rPr>
          <w:rFonts w:ascii="Arial" w:cs="Arial" w:eastAsia="Arial" w:hAnsi="Arial"/>
          <w:sz w:val="17"/>
          <w:szCs w:val="17"/>
          <w:color w:val="auto"/>
        </w:rPr>
        <w:t>10.1+  Form of Indemnification Agreement, dated as of December 29, 2010, by and between Northeast Bancorp and each of the members of the Board (incorporated by reference to Exhibit 10.1 of Northeast Bancorp’s Current Report on Form 8-K filed on January 5, 2011).</w:t>
      </w:r>
    </w:p>
    <w:p>
      <w:pPr>
        <w:ind w:left="1340" w:right="120" w:hanging="604"/>
        <w:spacing w:after="0" w:line="250" w:lineRule="auto"/>
        <w:tabs>
          <w:tab w:leader="none" w:pos="1320" w:val="left"/>
        </w:tabs>
        <w:rPr>
          <w:sz w:val="20"/>
          <w:szCs w:val="20"/>
          <w:color w:val="auto"/>
        </w:rPr>
      </w:pPr>
      <w:r>
        <w:rPr>
          <w:rFonts w:ascii="Arial" w:cs="Arial" w:eastAsia="Arial" w:hAnsi="Arial"/>
          <w:sz w:val="18"/>
          <w:szCs w:val="18"/>
          <w:color w:val="auto"/>
        </w:rPr>
        <w:t>10.2+</w:t>
        <w:tab/>
        <w:t>Employment Agreement, dated December 30, 2010, by and between Northeast Bancorp and Richard Wayne (incorporated by reference to Exhibit 10.2 of Northeast Bancorp’s Current Report on Form 8-K filed on January 5, 2011).</w:t>
      </w:r>
    </w:p>
    <w:p>
      <w:pPr>
        <w:spacing w:after="0" w:line="1" w:lineRule="exact"/>
        <w:rPr>
          <w:sz w:val="20"/>
          <w:szCs w:val="20"/>
          <w:color w:val="auto"/>
        </w:rPr>
      </w:pPr>
    </w:p>
    <w:p>
      <w:pPr>
        <w:ind w:left="1340" w:right="380" w:hanging="604"/>
        <w:spacing w:after="0" w:line="250" w:lineRule="auto"/>
        <w:tabs>
          <w:tab w:leader="none" w:pos="1320" w:val="left"/>
        </w:tabs>
        <w:rPr>
          <w:sz w:val="20"/>
          <w:szCs w:val="20"/>
          <w:color w:val="auto"/>
        </w:rPr>
      </w:pPr>
      <w:r>
        <w:rPr>
          <w:rFonts w:ascii="Arial" w:cs="Arial" w:eastAsia="Arial" w:hAnsi="Arial"/>
          <w:sz w:val="18"/>
          <w:szCs w:val="18"/>
          <w:color w:val="auto"/>
        </w:rPr>
        <w:t>10.3+</w:t>
        <w:tab/>
        <w:t>Employment Agreement, dated December 30, 2010, by and between Northeast Bancorp and Claire Bean (incorporated by reference to Exhibit 10.3 of Northeast Bancorp’s Current Report on Form 8-K filed on January 5, 2011).</w:t>
      </w:r>
    </w:p>
    <w:p>
      <w:pPr>
        <w:spacing w:after="0" w:line="1" w:lineRule="exact"/>
        <w:rPr>
          <w:sz w:val="20"/>
          <w:szCs w:val="20"/>
          <w:color w:val="auto"/>
        </w:rPr>
      </w:pPr>
    </w:p>
    <w:p>
      <w:pPr>
        <w:ind w:left="1340" w:right="140" w:hanging="604"/>
        <w:spacing w:after="0" w:line="250" w:lineRule="auto"/>
        <w:tabs>
          <w:tab w:leader="none" w:pos="1320" w:val="left"/>
        </w:tabs>
        <w:rPr>
          <w:sz w:val="20"/>
          <w:szCs w:val="20"/>
          <w:color w:val="auto"/>
        </w:rPr>
      </w:pPr>
      <w:r>
        <w:rPr>
          <w:rFonts w:ascii="Arial" w:cs="Arial" w:eastAsia="Arial" w:hAnsi="Arial"/>
          <w:sz w:val="18"/>
          <w:szCs w:val="18"/>
          <w:color w:val="auto"/>
        </w:rPr>
        <w:t>10.4+</w:t>
        <w:tab/>
        <w:t>Employment Agreement, dated December 30, 2010, by and between Northeast Bancorp and Heather Campion (incorporated by reference to Exhibit 10.4 of Northeast Bancorp’s Current Report on Form 8-K filed on January 5, 2011).</w:t>
      </w:r>
    </w:p>
    <w:p>
      <w:pPr>
        <w:spacing w:after="0" w:line="1" w:lineRule="exact"/>
        <w:rPr>
          <w:sz w:val="20"/>
          <w:szCs w:val="20"/>
          <w:color w:val="auto"/>
        </w:rPr>
      </w:pPr>
    </w:p>
    <w:p>
      <w:pPr>
        <w:ind w:left="1340" w:right="60" w:hanging="604"/>
        <w:spacing w:after="0" w:line="265" w:lineRule="auto"/>
        <w:tabs>
          <w:tab w:leader="none" w:pos="13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Separation Agreement &amp; General Release, dated August 15, 2013, by and between Northeast Bancorp and Heather Campion (incorporated by reference to Exhibit 10.1 of Northeast Bancorp’s Current Report on Form 8-K filed on August 15, 2013).</w:t>
      </w:r>
    </w:p>
    <w:p>
      <w:pPr>
        <w:ind w:left="1340" w:right="220" w:hanging="604"/>
        <w:spacing w:after="0" w:line="265" w:lineRule="auto"/>
        <w:tabs>
          <w:tab w:leader="none" w:pos="13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Non-Qualified Time-Based Stock Option Agreement, dated December 29, 2010, by and between Northeast Bancorp and Richard Wayne (incorporated by reference to Exhibit 10.5 of Northeast Bancorp’s Current Report on Form 8-K filed on January 5, 2011).</w:t>
      </w:r>
    </w:p>
    <w:p>
      <w:pPr>
        <w:ind w:left="1340" w:right="480" w:hanging="604"/>
        <w:spacing w:after="0" w:line="281" w:lineRule="auto"/>
        <w:tabs>
          <w:tab w:leader="none" w:pos="13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Non-Qualified Performance-Based Stock Option Agreement, dated March 22, 2013, by and between Northeast Bancorp and Richard Wayne (incorporated by reference to Exhibit 10.1 of Northeast Bancorp’s Current Report on Form 8-K filed on March 26, 2013).</w:t>
      </w:r>
    </w:p>
    <w:p>
      <w:pPr>
        <w:spacing w:after="0" w:line="1" w:lineRule="exact"/>
        <w:rPr>
          <w:sz w:val="20"/>
          <w:szCs w:val="20"/>
          <w:color w:val="auto"/>
        </w:rPr>
      </w:pPr>
    </w:p>
    <w:p>
      <w:pPr>
        <w:ind w:left="1340" w:right="480" w:hanging="604"/>
        <w:spacing w:after="0" w:line="290" w:lineRule="auto"/>
        <w:tabs>
          <w:tab w:leader="none" w:pos="13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Non-Qualified Time-Based Stock Option Agreement, dated December 29, 2010, by and between Northeast Bancorp and Claire Bean (incorporated by reference to Exhibit 10.7 of Northeast Bancorp’s Current Report on Form 8-K filed on January 5, 2011).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40" w:right="200" w:hanging="604"/>
        <w:spacing w:after="0" w:line="274" w:lineRule="auto"/>
        <w:tabs>
          <w:tab w:leader="none" w:pos="13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Non-Qualified Performance-Based Stock Option Agreement, dated March 22, 2013, by and between Northeast Bancorp and Claire Bean (incorporated by reference to Exhibit 10.2 of Northeast Bancorp’s Current Report on Form 8-K filed on March 26, 2013).</w:t>
      </w:r>
    </w:p>
    <w:p>
      <w:pPr>
        <w:ind w:left="1340" w:right="60" w:hanging="694"/>
        <w:spacing w:after="0" w:line="265" w:lineRule="auto"/>
        <w:tabs>
          <w:tab w:leader="none" w:pos="13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Non-Qualified Time-Based Stock Option Agreement, dated December 29, 2010, by and between Northeast Bancorp and Heather Campion (incorporated by reference to Exhibit 10.8 of Northeast Bancorp’s Current Report on Form 8-K filed on January 5, 2011).</w:t>
      </w:r>
    </w:p>
    <w:p>
      <w:pPr>
        <w:ind w:left="1340" w:right="480" w:hanging="688"/>
        <w:spacing w:after="0" w:line="281" w:lineRule="auto"/>
        <w:tabs>
          <w:tab w:leader="none" w:pos="13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Non-Qualified Performance-Based Stock Option Agreement, dated March 22, 2013, by and between Northeast Bancorp and Heather Campion (incorporated by reference to Exhibit 10.3 of Northeast Bancorp’s Current Report on Form 8-K filed on March 26, 2013).</w:t>
      </w:r>
    </w:p>
    <w:p>
      <w:pPr>
        <w:spacing w:after="0" w:line="1" w:lineRule="exact"/>
        <w:rPr>
          <w:sz w:val="20"/>
          <w:szCs w:val="20"/>
          <w:color w:val="auto"/>
        </w:rPr>
      </w:pPr>
    </w:p>
    <w:p>
      <w:pPr>
        <w:ind w:left="1340" w:right="120" w:hanging="694"/>
        <w:spacing w:after="0" w:line="250" w:lineRule="auto"/>
        <w:tabs>
          <w:tab w:leader="none" w:pos="1320" w:val="left"/>
        </w:tabs>
        <w:rPr>
          <w:sz w:val="20"/>
          <w:szCs w:val="20"/>
          <w:color w:val="auto"/>
        </w:rPr>
      </w:pPr>
      <w:r>
        <w:rPr>
          <w:rFonts w:ascii="Arial" w:cs="Arial" w:eastAsia="Arial" w:hAnsi="Arial"/>
          <w:sz w:val="18"/>
          <w:szCs w:val="18"/>
          <w:color w:val="auto"/>
        </w:rPr>
        <w:t>10.12+</w:t>
        <w:tab/>
        <w:t>Non-Qualified Stock Option Agreement, dated December 30, 2010, by and between Northeast Bancorp and Robert Glauber (incorporated by reference to Exhibit 10.11 of Northeast Bancorp’s Current Report on Form 8-K filed on January 5, 2011).</w:t>
      </w:r>
    </w:p>
    <w:p>
      <w:pPr>
        <w:spacing w:after="0" w:line="1" w:lineRule="exact"/>
        <w:rPr>
          <w:sz w:val="20"/>
          <w:szCs w:val="20"/>
          <w:color w:val="auto"/>
        </w:rPr>
      </w:pPr>
    </w:p>
    <w:p>
      <w:pPr>
        <w:jc w:val="both"/>
        <w:ind w:left="1340" w:right="420" w:hanging="694"/>
        <w:spacing w:after="0" w:line="250" w:lineRule="auto"/>
        <w:tabs>
          <w:tab w:leader="none" w:pos="1320" w:val="left"/>
        </w:tabs>
        <w:rPr>
          <w:sz w:val="20"/>
          <w:szCs w:val="20"/>
          <w:color w:val="auto"/>
        </w:rPr>
      </w:pPr>
      <w:r>
        <w:rPr>
          <w:rFonts w:ascii="Arial" w:cs="Arial" w:eastAsia="Arial" w:hAnsi="Arial"/>
          <w:sz w:val="18"/>
          <w:szCs w:val="18"/>
          <w:color w:val="auto"/>
        </w:rPr>
        <w:t>10.13+</w:t>
        <w:tab/>
        <w:t>Amended and Restated Performance-Based Stock Appreciation Rights Agreement, dated March 24, 2011, by and between Northeast Bancorp and Matthew Botein (incorporated by reference to Exhibit 10.1 of Northeast Bancorp’s Current Report on Form 8-K filed on March 30, 2011).</w:t>
      </w:r>
    </w:p>
    <w:p>
      <w:pPr>
        <w:spacing w:after="0" w:line="1"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Non-Qualified Time-Based Stock Option Agreement, dated March 24, 2011, by and between Northeast Bancorp and Matthew Botein</w:t>
      </w:r>
    </w:p>
    <w:p>
      <w:pPr>
        <w:sectPr>
          <w:pgSz w:w="11900" w:h="16888" w:orient="portrait"/>
          <w:cols w:equalWidth="0" w:num="1">
            <w:col w:w="11400"/>
          </w:cols>
          <w:pgMar w:left="240" w:top="121" w:right="259" w:bottom="0" w:gutter="0" w:footer="0" w:header="0"/>
        </w:sectPr>
      </w:pPr>
    </w:p>
    <w:bookmarkStart w:id="69" w:name="page70"/>
    <w:bookmarkEnd w:id="69"/>
    <w:p>
      <w:pPr>
        <w:spacing w:after="0" w:line="72"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10.2 of Northeast Bancorp’s Current Report on Form 8-K filed on March 30, 2011).</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9880" w:type="dxa"/>
            <w:vAlign w:val="bottom"/>
          </w:tcPr>
          <w:p>
            <w:pPr>
              <w:ind w:left="80"/>
              <w:spacing w:after="0"/>
              <w:rPr>
                <w:sz w:val="20"/>
                <w:szCs w:val="20"/>
                <w:color w:val="auto"/>
              </w:rPr>
            </w:pPr>
            <w:r>
              <w:rPr>
                <w:rFonts w:ascii="Arial" w:cs="Arial" w:eastAsia="Arial" w:hAnsi="Arial"/>
                <w:sz w:val="18"/>
                <w:szCs w:val="18"/>
                <w:color w:val="auto"/>
                <w:w w:val="92"/>
              </w:rPr>
              <w:t>Non-Qualified Performance-Based Stock Option Agreement, dated March 24, 2011, by and between Northeast Bancorp and Matthew</w:t>
            </w:r>
          </w:p>
        </w:tc>
      </w:tr>
      <w:tr>
        <w:trPr>
          <w:trHeight w:val="216"/>
        </w:trPr>
        <w:tc>
          <w:tcPr>
            <w:tcW w:w="78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7"/>
              </w:rPr>
              <w:t>Botein (incorporated by reference to Exhibit 10.3 of Northeast Bancorp’s Current Report on Form 8-K filed on March 30, 2011).</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9880" w:type="dxa"/>
            <w:vAlign w:val="bottom"/>
          </w:tcPr>
          <w:p>
            <w:pPr>
              <w:ind w:left="80"/>
              <w:spacing w:after="0"/>
              <w:rPr>
                <w:sz w:val="20"/>
                <w:szCs w:val="20"/>
                <w:color w:val="auto"/>
              </w:rPr>
            </w:pPr>
            <w:r>
              <w:rPr>
                <w:rFonts w:ascii="Arial" w:cs="Arial" w:eastAsia="Arial" w:hAnsi="Arial"/>
                <w:sz w:val="18"/>
                <w:szCs w:val="18"/>
                <w:color w:val="auto"/>
              </w:rPr>
              <w:t>Subsidiaries of Northeast Bancorp</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9880" w:type="dxa"/>
            <w:vAlign w:val="bottom"/>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9880" w:type="dxa"/>
            <w:vAlign w:val="bottom"/>
          </w:tcPr>
          <w:p>
            <w:pPr>
              <w:ind w:left="80"/>
              <w:spacing w:after="0"/>
              <w:rPr>
                <w:sz w:val="20"/>
                <w:szCs w:val="20"/>
                <w:color w:val="auto"/>
              </w:rPr>
            </w:pPr>
            <w:r>
              <w:rPr>
                <w:rFonts w:ascii="Arial" w:cs="Arial" w:eastAsia="Arial" w:hAnsi="Arial"/>
                <w:sz w:val="18"/>
                <w:szCs w:val="18"/>
                <w:color w:val="auto"/>
              </w:rPr>
              <w:t>Consent of Shatswell, MacLeod &amp; Company, P.C.</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9880" w:type="dxa"/>
            <w:vAlign w:val="bottom"/>
          </w:tcPr>
          <w:p>
            <w:pPr>
              <w:ind w:left="80"/>
              <w:spacing w:after="0"/>
              <w:rPr>
                <w:sz w:val="20"/>
                <w:szCs w:val="20"/>
                <w:color w:val="auto"/>
              </w:rPr>
            </w:pPr>
            <w:r>
              <w:rPr>
                <w:rFonts w:ascii="Arial" w:cs="Arial" w:eastAsia="Arial" w:hAnsi="Arial"/>
                <w:sz w:val="18"/>
                <w:szCs w:val="18"/>
                <w:color w:val="auto"/>
                <w:w w:val="95"/>
              </w:rPr>
              <w:t>Rule 13a-14(a)/15d-14(a) Certification of the Chief Executive Officer pursuant to Section 302 of the Sarbanes-Oxley Act of 2002.</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9880" w:type="dxa"/>
            <w:vAlign w:val="bottom"/>
          </w:tcPr>
          <w:p>
            <w:pPr>
              <w:ind w:left="80"/>
              <w:spacing w:after="0"/>
              <w:rPr>
                <w:sz w:val="20"/>
                <w:szCs w:val="20"/>
                <w:color w:val="auto"/>
              </w:rPr>
            </w:pPr>
            <w:r>
              <w:rPr>
                <w:rFonts w:ascii="Arial" w:cs="Arial" w:eastAsia="Arial" w:hAnsi="Arial"/>
                <w:sz w:val="18"/>
                <w:szCs w:val="18"/>
                <w:color w:val="auto"/>
                <w:w w:val="96"/>
              </w:rPr>
              <w:t>Rule 13a-14(a)/15d-14(a) Certification of the Chief Financial Officer pursuant to Section 302 of the Sarbanes-Oxley Act of 2002.</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9880" w:type="dxa"/>
            <w:vAlign w:val="bottom"/>
          </w:tcPr>
          <w:p>
            <w:pPr>
              <w:ind w:left="80"/>
              <w:spacing w:after="0"/>
              <w:rPr>
                <w:sz w:val="20"/>
                <w:szCs w:val="20"/>
                <w:color w:val="auto"/>
              </w:rPr>
            </w:pPr>
            <w:r>
              <w:rPr>
                <w:rFonts w:ascii="Arial" w:cs="Arial" w:eastAsia="Arial" w:hAnsi="Arial"/>
                <w:sz w:val="18"/>
                <w:szCs w:val="18"/>
                <w:color w:val="auto"/>
                <w:w w:val="91"/>
              </w:rPr>
              <w:t>Rule 13a-14(b) Certifications of the Chief Executive Officer and Chief Financial Officer Pursuant to Section 906 of the Sarbanes-Oxley</w:t>
            </w:r>
          </w:p>
        </w:tc>
      </w:tr>
      <w:tr>
        <w:trPr>
          <w:trHeight w:val="216"/>
        </w:trPr>
        <w:tc>
          <w:tcPr>
            <w:tcW w:w="78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Act of 2002.</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9880" w:type="dxa"/>
            <w:vAlign w:val="bottom"/>
          </w:tcPr>
          <w:p>
            <w:pPr>
              <w:ind w:left="80"/>
              <w:spacing w:after="0"/>
              <w:rPr>
                <w:sz w:val="20"/>
                <w:szCs w:val="20"/>
                <w:color w:val="auto"/>
              </w:rPr>
            </w:pPr>
            <w:r>
              <w:rPr>
                <w:rFonts w:ascii="Arial" w:cs="Arial" w:eastAsia="Arial" w:hAnsi="Arial"/>
                <w:sz w:val="18"/>
                <w:szCs w:val="18"/>
                <w:color w:val="auto"/>
              </w:rPr>
              <w:t>Certification pursuant to Section 111(b)(4) of the Emergency Economic Stabilization Act of 2008, as amended</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98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98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98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98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98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1"/>
              </w:rPr>
              <w:t>101.PRE</w:t>
            </w:r>
          </w:p>
        </w:tc>
        <w:tc>
          <w:tcPr>
            <w:tcW w:w="98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pacing w:after="0" w:line="225" w:lineRule="exact"/>
        <w:rPr>
          <w:sz w:val="20"/>
          <w:szCs w:val="20"/>
          <w:color w:val="auto"/>
        </w:rPr>
      </w:pPr>
    </w:p>
    <w:p>
      <w:pPr>
        <w:spacing w:after="0"/>
        <w:tabs>
          <w:tab w:leader="none" w:pos="5700" w:val="left"/>
          <w:tab w:leader="none" w:pos="7960" w:val="left"/>
        </w:tabs>
        <w:rPr>
          <w:sz w:val="20"/>
          <w:szCs w:val="20"/>
          <w:color w:val="auto"/>
        </w:rPr>
      </w:pPr>
      <w:r>
        <w:rPr>
          <w:rFonts w:ascii="Arial" w:cs="Arial" w:eastAsia="Arial" w:hAnsi="Arial"/>
          <w:sz w:val="18"/>
          <w:szCs w:val="18"/>
          <w:color w:val="auto"/>
        </w:rPr>
        <w:t>Date: September 27,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WAYNE</w:t>
      </w:r>
    </w:p>
    <w:p>
      <w:pPr>
        <w:spacing w:after="0" w:line="2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80" w:type="dxa"/>
            <w:vAlign w:val="bottom"/>
          </w:tcPr>
          <w:p>
            <w:pPr>
              <w:spacing w:after="0"/>
              <w:rPr>
                <w:sz w:val="14"/>
                <w:szCs w:val="14"/>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31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26"/>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RICHARD WAYNE</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Director (Principal</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3"/>
              </w:rPr>
              <w:t>Richard Wayne</w:t>
            </w:r>
          </w:p>
        </w:tc>
        <w:tc>
          <w:tcPr>
            <w:tcW w:w="380" w:type="dxa"/>
            <w:vAlign w:val="bottom"/>
          </w:tcPr>
          <w:p>
            <w:pPr>
              <w:spacing w:after="0"/>
              <w:rPr>
                <w:sz w:val="19"/>
                <w:szCs w:val="19"/>
                <w:color w:val="auto"/>
              </w:rPr>
            </w:pP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Executive Officer)</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5"/>
              </w:rPr>
              <w:t>/s/ CLAIRE S. BEAN</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and Chief Operating Officer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114"/>
        </w:trPr>
        <w:tc>
          <w:tcPr>
            <w:tcW w:w="3700" w:type="dxa"/>
            <w:vAlign w:val="bottom"/>
            <w:tcBorders>
              <w:bottom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4180" w:type="dxa"/>
            <w:vAlign w:val="bottom"/>
            <w:gridSpan w:val="2"/>
            <w:vMerge w:val="restart"/>
          </w:tcPr>
          <w:p>
            <w:pPr>
              <w:ind w:left="180"/>
              <w:spacing w:after="0"/>
              <w:rPr>
                <w:sz w:val="20"/>
                <w:szCs w:val="20"/>
                <w:color w:val="auto"/>
              </w:rPr>
            </w:pPr>
            <w:r>
              <w:rPr>
                <w:rFonts w:ascii="Arial" w:cs="Arial" w:eastAsia="Arial" w:hAnsi="Arial"/>
                <w:sz w:val="18"/>
                <w:szCs w:val="18"/>
                <w:color w:val="auto"/>
              </w:rPr>
              <w:t>(Principal Financial Officer and Principal</w:t>
            </w: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Claire S. Bean</w:t>
            </w:r>
          </w:p>
        </w:tc>
        <w:tc>
          <w:tcPr>
            <w:tcW w:w="38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180" w:type="dxa"/>
            <w:vAlign w:val="bottom"/>
            <w:gridSpan w:val="2"/>
            <w:vMerge w:val="restart"/>
          </w:tcPr>
          <w:p>
            <w:pPr>
              <w:ind w:left="180"/>
              <w:spacing w:after="0"/>
              <w:rPr>
                <w:sz w:val="20"/>
                <w:szCs w:val="20"/>
                <w:color w:val="auto"/>
              </w:rPr>
            </w:pPr>
            <w:r>
              <w:rPr>
                <w:rFonts w:ascii="Arial" w:cs="Arial" w:eastAsia="Arial" w:hAnsi="Arial"/>
                <w:sz w:val="18"/>
                <w:szCs w:val="18"/>
                <w:color w:val="auto"/>
              </w:rPr>
              <w:t>Accounting Officer)</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ROBERT GLAUBER</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Chairman of the Board</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3"/>
              </w:rPr>
              <w:t>Robert Glauber</w:t>
            </w:r>
          </w:p>
        </w:tc>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MATTHEW BOTEIN</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Matthew Botein</w:t>
            </w:r>
          </w:p>
        </w:tc>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CHERYL DORSEY</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Cheryl Dorsey</w:t>
            </w:r>
          </w:p>
        </w:tc>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PETER MCCLEAN</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Peter McClean</w:t>
            </w:r>
          </w:p>
        </w:tc>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C. ORESTIS</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John C. Orestis</w:t>
            </w:r>
          </w:p>
        </w:tc>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ADAM SHAPIRO</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Adam Shapiro</w:t>
            </w:r>
          </w:p>
        </w:tc>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TANNER</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David Tanner</w:t>
            </w:r>
          </w:p>
        </w:tc>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700" w:type="dxa"/>
            <w:vAlign w:val="bottom"/>
          </w:tcPr>
          <w:p>
            <w:pPr>
              <w:jc w:val="center"/>
              <w:spacing w:after="0"/>
              <w:rPr>
                <w:sz w:val="20"/>
                <w:szCs w:val="20"/>
                <w:color w:val="auto"/>
              </w:rPr>
            </w:pPr>
            <w:r>
              <w:rPr>
                <w:rFonts w:ascii="Arial" w:cs="Arial" w:eastAsia="Arial" w:hAnsi="Arial"/>
                <w:sz w:val="18"/>
                <w:szCs w:val="18"/>
                <w:color w:val="auto"/>
                <w:w w:val="96"/>
              </w:rPr>
              <w:t>/s/ JUDITH E. WALLINGFORD</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3160" w:type="dxa"/>
            <w:vAlign w:val="bottom"/>
          </w:tcPr>
          <w:p>
            <w:pPr>
              <w:spacing w:after="0"/>
              <w:rPr>
                <w:sz w:val="20"/>
                <w:szCs w:val="20"/>
                <w:color w:val="auto"/>
              </w:rPr>
            </w:pPr>
            <w:r>
              <w:rPr>
                <w:rFonts w:ascii="Arial" w:cs="Arial" w:eastAsia="Arial" w:hAnsi="Arial"/>
                <w:sz w:val="18"/>
                <w:szCs w:val="18"/>
                <w:color w:val="auto"/>
              </w:rPr>
              <w:t>September 27, 2013</w:t>
            </w:r>
          </w:p>
        </w:tc>
        <w:tc>
          <w:tcPr>
            <w:tcW w:w="0" w:type="dxa"/>
            <w:vAlign w:val="bottom"/>
          </w:tcPr>
          <w:p>
            <w:pPr>
              <w:spacing w:after="0"/>
              <w:rPr>
                <w:sz w:val="1"/>
                <w:szCs w:val="1"/>
                <w:color w:val="auto"/>
              </w:rPr>
            </w:pPr>
          </w:p>
        </w:tc>
      </w:tr>
    </w:tbl>
    <w:p>
      <w:pPr>
        <w:sectPr>
          <w:pgSz w:w="11900" w:h="16911" w:orient="portrait"/>
          <w:cols w:equalWidth="0" w:num="1">
            <w:col w:w="11420"/>
          </w:cols>
          <w:pgMar w:left="240" w:top="125" w:right="239" w:bottom="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Judith E. Wallingford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-127635</wp:posOffset>
            </wp:positionV>
            <wp:extent cx="23412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95885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19"/>
          </w:cols>
          <w:pgMar w:left="1240" w:top="135"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ind w:left="720"/>
              <w:spacing w:after="0"/>
              <w:rPr>
                <w:sz w:val="20"/>
                <w:szCs w:val="20"/>
                <w:color w:val="auto"/>
              </w:rPr>
            </w:pPr>
            <w:r>
              <w:rPr>
                <w:rFonts w:ascii="Arial" w:cs="Arial" w:eastAsia="Arial" w:hAnsi="Arial"/>
                <w:sz w:val="18"/>
                <w:szCs w:val="18"/>
                <w:b w:val="1"/>
                <w:bCs w:val="1"/>
                <w:color w:val="auto"/>
                <w:w w:val="96"/>
              </w:rPr>
              <w:t>Exhibit 21</w:t>
            </w:r>
          </w:p>
        </w:tc>
        <w:tc>
          <w:tcPr>
            <w:tcW w:w="0" w:type="dxa"/>
            <w:vAlign w:val="bottom"/>
          </w:tcPr>
          <w:p>
            <w:pPr>
              <w:spacing w:after="0"/>
              <w:rPr>
                <w:sz w:val="1"/>
                <w:szCs w:val="1"/>
                <w:color w:val="auto"/>
              </w:rPr>
            </w:pPr>
          </w:p>
        </w:tc>
      </w:tr>
      <w:tr>
        <w:trPr>
          <w:trHeight w:val="392"/>
        </w:trPr>
        <w:tc>
          <w:tcPr>
            <w:tcW w:w="6820" w:type="dxa"/>
            <w:vAlign w:val="bottom"/>
            <w:gridSpan w:val="3"/>
          </w:tcPr>
          <w:p>
            <w:pPr>
              <w:spacing w:after="0"/>
              <w:rPr>
                <w:sz w:val="20"/>
                <w:szCs w:val="20"/>
                <w:color w:val="auto"/>
              </w:rPr>
            </w:pPr>
            <w:r>
              <w:rPr>
                <w:rFonts w:ascii="Arial" w:cs="Arial" w:eastAsia="Arial" w:hAnsi="Arial"/>
                <w:sz w:val="18"/>
                <w:szCs w:val="18"/>
                <w:color w:val="auto"/>
              </w:rPr>
              <w:t>Subsidiaries of Registrant</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86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Jurisdiction</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Year</w:t>
            </w:r>
          </w:p>
        </w:tc>
        <w:tc>
          <w:tcPr>
            <w:tcW w:w="1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Acquired</w:t>
            </w:r>
          </w:p>
        </w:tc>
        <w:tc>
          <w:tcPr>
            <w:tcW w:w="15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Voting</w:t>
            </w: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80" w:type="dxa"/>
            <w:vAlign w:val="bottom"/>
            <w:vMerge w:val="restart"/>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or</w:t>
            </w:r>
          </w:p>
        </w:tc>
        <w:tc>
          <w:tcPr>
            <w:tcW w:w="15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Formed</w:t>
            </w:r>
          </w:p>
        </w:tc>
        <w:tc>
          <w:tcPr>
            <w:tcW w:w="1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 Data Services, Inc.</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9"/>
              </w:rPr>
              <w:t>Maine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gridSpan w:val="3"/>
          </w:tcPr>
          <w:p>
            <w:pPr>
              <w:spacing w:after="0" w:line="201" w:lineRule="exact"/>
              <w:rPr>
                <w:sz w:val="20"/>
                <w:szCs w:val="20"/>
                <w:color w:val="auto"/>
              </w:rPr>
            </w:pPr>
            <w:r>
              <w:rPr>
                <w:rFonts w:ascii="Arial" w:cs="Arial" w:eastAsia="Arial" w:hAnsi="Arial"/>
                <w:sz w:val="18"/>
                <w:szCs w:val="18"/>
                <w:color w:val="auto"/>
                <w:w w:val="95"/>
              </w:rPr>
              <w:t>Northeast Bank (and its 100% owned subsidiaries: Northeast Bank Insurance Group, Inc.;</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ind w:left="180"/>
              <w:spacing w:after="0"/>
              <w:rPr>
                <w:sz w:val="20"/>
                <w:szCs w:val="20"/>
                <w:color w:val="auto"/>
              </w:rPr>
            </w:pPr>
            <w:r>
              <w:rPr>
                <w:rFonts w:ascii="Arial" w:cs="Arial" w:eastAsia="Arial" w:hAnsi="Arial"/>
                <w:sz w:val="18"/>
                <w:szCs w:val="18"/>
                <w:color w:val="auto"/>
              </w:rPr>
              <w:t>200 Elm Realty, LLC; 500 Pine Realty, LLC; 17 Dogwood Realty, LLC)</w:t>
            </w:r>
          </w:p>
        </w:tc>
        <w:tc>
          <w:tcPr>
            <w:tcW w:w="1540" w:type="dxa"/>
            <w:vAlign w:val="bottom"/>
            <w:gridSpan w:val="2"/>
          </w:tcPr>
          <w:p>
            <w:pPr>
              <w:ind w:left="920"/>
              <w:spacing w:after="0"/>
              <w:rPr>
                <w:sz w:val="20"/>
                <w:szCs w:val="20"/>
                <w:color w:val="auto"/>
              </w:rPr>
            </w:pPr>
            <w:r>
              <w:rPr>
                <w:rFonts w:ascii="Arial" w:cs="Arial" w:eastAsia="Arial" w:hAnsi="Arial"/>
                <w:sz w:val="18"/>
                <w:szCs w:val="18"/>
                <w:color w:val="auto"/>
              </w:rPr>
              <w:t>Maine</w:t>
            </w:r>
          </w:p>
        </w:tc>
        <w:tc>
          <w:tcPr>
            <w:tcW w:w="1380" w:type="dxa"/>
            <w:vAlign w:val="bottom"/>
          </w:tcPr>
          <w:p>
            <w:pPr>
              <w:jc w:val="right"/>
              <w:spacing w:after="0"/>
              <w:rPr>
                <w:sz w:val="20"/>
                <w:szCs w:val="20"/>
                <w:color w:val="auto"/>
              </w:rPr>
            </w:pPr>
            <w:r>
              <w:rPr>
                <w:rFonts w:ascii="Arial" w:cs="Arial" w:eastAsia="Arial" w:hAnsi="Arial"/>
                <w:sz w:val="18"/>
                <w:szCs w:val="18"/>
                <w:color w:val="auto"/>
              </w:rPr>
              <w:t>1987</w:t>
            </w:r>
          </w:p>
        </w:tc>
        <w:tc>
          <w:tcPr>
            <w:tcW w:w="1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186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(Form S-8: Nos. 333-135452, 333-171466 and 333-186356) of Northeast Bancorp of our report dated September 27, 2013, with respect to the consolidated financial statements of Northeast Bancorp and subsidiary, included in this Annual Report (Form 10-K) for the year ended June 30, 2013.</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on Form S-8 (Nos. 333-186356, 333-171466 and 333-135452) of Northeast Bancorp of our report dated September 10, 2012, related to our audit of the consolidated financial statements of Northeast Bancorp and Subsidiary included in the Annual Report Form 10-K for the year ended June 30, 2012.</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SHATSWELL, MacLEOD &amp; COMPANY,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 Peabody,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500" w:right="500" w:hanging="492"/>
        <w:spacing w:after="0" w:line="264"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500" w:right="460" w:hanging="492"/>
        <w:spacing w:after="0" w:line="308" w:lineRule="auto"/>
        <w:tabs>
          <w:tab w:leader="none" w:pos="4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0" w:hanging="492"/>
        <w:spacing w:after="0" w:line="264"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60"/>
        <w:spacing w:after="0" w:line="264" w:lineRule="auto"/>
        <w:tabs>
          <w:tab w:leader="none" w:pos="12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spacing w:after="0" w:line="264" w:lineRule="auto"/>
        <w:tabs>
          <w:tab w:leader="none" w:pos="123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40"/>
        <w:spacing w:after="0" w:line="342" w:lineRule="auto"/>
        <w:tabs>
          <w:tab w:leader="none" w:pos="122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spacing w:after="0" w:line="264" w:lineRule="auto"/>
        <w:tabs>
          <w:tab w:leader="none" w:pos="123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200" w:hanging="492"/>
        <w:spacing w:after="0" w:line="308" w:lineRule="auto"/>
        <w:tabs>
          <w:tab w:leader="none" w:pos="4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60"/>
        <w:spacing w:after="0" w:line="308" w:lineRule="auto"/>
        <w:tabs>
          <w:tab w:leader="none" w:pos="1215"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40"/>
        <w:spacing w:after="0" w:line="277" w:lineRule="auto"/>
        <w:tabs>
          <w:tab w:leader="none" w:pos="12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September 27,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4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Claire Bean, certify that:</w:t>
      </w:r>
    </w:p>
    <w:p>
      <w:pPr>
        <w:spacing w:after="0" w:line="225"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520" w:right="460" w:hanging="512"/>
        <w:spacing w:after="0" w:line="264" w:lineRule="auto"/>
        <w:tabs>
          <w:tab w:leader="none" w:pos="5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520" w:right="440" w:hanging="512"/>
        <w:spacing w:after="0" w:line="308" w:lineRule="auto"/>
        <w:tabs>
          <w:tab w:leader="none" w:pos="514"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460" w:hanging="512"/>
        <w:spacing w:after="0" w:line="264" w:lineRule="auto"/>
        <w:tabs>
          <w:tab w:leader="none" w:pos="5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60"/>
        <w:spacing w:after="0" w:line="264" w:lineRule="auto"/>
        <w:tabs>
          <w:tab w:leader="none" w:pos="12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spacing w:after="0" w:line="264" w:lineRule="auto"/>
        <w:tabs>
          <w:tab w:leader="none" w:pos="123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40"/>
        <w:spacing w:after="0" w:line="342" w:lineRule="auto"/>
        <w:tabs>
          <w:tab w:leader="none" w:pos="122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spacing w:after="0" w:line="264" w:lineRule="auto"/>
        <w:tabs>
          <w:tab w:leader="none" w:pos="123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308" w:lineRule="auto"/>
        <w:tabs>
          <w:tab w:leader="none" w:pos="51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60"/>
        <w:spacing w:after="0" w:line="308" w:lineRule="auto"/>
        <w:tabs>
          <w:tab w:leader="none" w:pos="1215"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40"/>
        <w:spacing w:after="0" w:line="277" w:lineRule="auto"/>
        <w:tabs>
          <w:tab w:leader="none" w:pos="12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September 27,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40"/>
              <w:spacing w:after="0" w:line="195" w:lineRule="exact"/>
              <w:rPr>
                <w:sz w:val="20"/>
                <w:szCs w:val="20"/>
                <w:color w:val="auto"/>
              </w:rPr>
            </w:pPr>
            <w:r>
              <w:rPr>
                <w:rFonts w:ascii="Arial" w:cs="Arial" w:eastAsia="Arial" w:hAnsi="Arial"/>
                <w:sz w:val="18"/>
                <w:szCs w:val="18"/>
                <w:color w:val="auto"/>
              </w:rPr>
              <w:t>Claire Bean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6" w:name="page77"/>
    <w:bookmarkEnd w:id="76"/>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Rule 13a-14(b) and 18 U.S.C. Section 1350</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report of Northeast Bancorp (the “Company”) on Form 10-K for the annual period ending June 30, 2013 as filed with the Securities and Exchange Commission on the date hereof (the “Report”), each of the undersigned officers of the Company hereby certify, pursuant to Exchange Act Rule 13a-14(b) and 18 U.S.C. 1350, that to the best of such officer’s knowledge:</w:t>
      </w:r>
    </w:p>
    <w:p>
      <w:pPr>
        <w:spacing w:after="0" w:line="181" w:lineRule="exact"/>
        <w:rPr>
          <w:sz w:val="20"/>
          <w:szCs w:val="20"/>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right="160" w:hanging="8"/>
        <w:spacing w:after="0" w:line="277" w:lineRule="auto"/>
        <w:tabs>
          <w:tab w:leader="none" w:pos="6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September 27,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4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648"/>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4"/>
                <w:szCs w:val="24"/>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40"/>
              <w:spacing w:after="0" w:line="195" w:lineRule="exact"/>
              <w:rPr>
                <w:sz w:val="20"/>
                <w:szCs w:val="20"/>
                <w:color w:val="auto"/>
              </w:rPr>
            </w:pPr>
            <w:r>
              <w:rPr>
                <w:rFonts w:ascii="Arial" w:cs="Arial" w:eastAsia="Arial" w:hAnsi="Arial"/>
                <w:sz w:val="18"/>
                <w:szCs w:val="18"/>
                <w:color w:val="auto"/>
              </w:rPr>
              <w:t>Claire Bean</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 Section 111(b)(4)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Emergency Economic Stabilization Act of 2008 (“EESA”)</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Richard Wayne, Chief Executive Officer, and Clare Bean, Chief Financial Officer, of Northeast Bancorp (“Northeast”), certify, based on information provided to us by the relevant employees and directors of Northeast and its subsidiaries, that:</w:t>
      </w:r>
    </w:p>
    <w:p>
      <w:pPr>
        <w:spacing w:after="0" w:line="170" w:lineRule="exact"/>
        <w:rPr>
          <w:sz w:val="20"/>
          <w:szCs w:val="20"/>
          <w:color w:val="auto"/>
        </w:rPr>
      </w:pPr>
    </w:p>
    <w:p>
      <w:pPr>
        <w:ind w:left="660" w:right="20" w:hanging="652"/>
        <w:spacing w:after="0" w:line="264" w:lineRule="auto"/>
        <w:tabs>
          <w:tab w:leader="none" w:pos="68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of Northeast has discussed, reviewed and evaluated with senior risk officers at least every six months during the period commencing July 1, 2012 and ended November 28, 2012 (the “Applicable Period”), senior executive officer (“SEO”) compensation plans and employee compensation plans and the risks these plans pose to Northeast;</w:t>
      </w:r>
    </w:p>
    <w:p>
      <w:pPr>
        <w:spacing w:after="0" w:line="181" w:lineRule="exact"/>
        <w:rPr>
          <w:rFonts w:ascii="Arial" w:cs="Arial" w:eastAsia="Arial" w:hAnsi="Arial"/>
          <w:sz w:val="18"/>
          <w:szCs w:val="18"/>
          <w:color w:val="auto"/>
        </w:rPr>
      </w:pPr>
    </w:p>
    <w:p>
      <w:pPr>
        <w:ind w:left="660" w:right="60" w:hanging="652"/>
        <w:spacing w:after="0" w:line="312" w:lineRule="auto"/>
        <w:tabs>
          <w:tab w:leader="none" w:pos="69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compensation committee of Northeast has identified and limited during the Applicable Period, any features of the SEO compensation plans that could lead SEOs to take unnecessary and excessive risks that could threaten the value of Northeast and has identified any features of the employee compensation plans that pose risks to Northeast and has limited those features to ensure that Northeast is not unnecessarily exposed to risks;</w:t>
      </w:r>
    </w:p>
    <w:p>
      <w:pPr>
        <w:spacing w:after="0" w:line="146" w:lineRule="exact"/>
        <w:rPr>
          <w:rFonts w:ascii="Arial" w:cs="Arial" w:eastAsia="Arial" w:hAnsi="Arial"/>
          <w:sz w:val="16"/>
          <w:szCs w:val="16"/>
          <w:color w:val="auto"/>
        </w:rPr>
      </w:pPr>
    </w:p>
    <w:p>
      <w:pPr>
        <w:ind w:left="660" w:right="140" w:hanging="652"/>
        <w:spacing w:after="0" w:line="264"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has reviewed, at least every six months during the Applicable Period, the terms of each employee compensation plan and identified any features of the plan that could encourage the manipulation of reported earnings of Northeast to enhance the compensation of an employee and has limited any such features;</w:t>
      </w:r>
    </w:p>
    <w:p>
      <w:pPr>
        <w:spacing w:after="0" w:line="181" w:lineRule="exact"/>
        <w:rPr>
          <w:rFonts w:ascii="Arial" w:cs="Arial" w:eastAsia="Arial" w:hAnsi="Arial"/>
          <w:sz w:val="18"/>
          <w:szCs w:val="18"/>
          <w:color w:val="auto"/>
        </w:rPr>
      </w:pPr>
    </w:p>
    <w:p>
      <w:pPr>
        <w:ind w:left="660" w:right="300" w:hanging="652"/>
        <w:spacing w:after="0" w:line="277" w:lineRule="auto"/>
        <w:tabs>
          <w:tab w:leader="none" w:pos="6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of Northeast will certify to the reviews of the SEO compensation plans and employee compensation plans required under (i) and (iii) above;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compensation committee of Northeast will provide a narrative description of how it limited during the Applicable Period the features in: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SEO compensation plans that could lead SEOs to take unnecessary and excessive risks that could threaten the value of Northeast;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Northeast to risks; and</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3" w:val="left"/>
        </w:tabs>
        <w:numPr>
          <w:ilvl w:val="1"/>
          <w:numId w:val="54"/>
        </w:numPr>
        <w:rPr>
          <w:rFonts w:ascii="Arial" w:cs="Arial" w:eastAsia="Arial" w:hAnsi="Arial"/>
          <w:sz w:val="18"/>
          <w:szCs w:val="18"/>
          <w:color w:val="auto"/>
        </w:rPr>
      </w:pPr>
      <w:r>
        <w:rPr>
          <w:rFonts w:ascii="Arial" w:cs="Arial" w:eastAsia="Arial" w:hAnsi="Arial"/>
          <w:sz w:val="18"/>
          <w:szCs w:val="18"/>
          <w:color w:val="auto"/>
        </w:rPr>
        <w:t>Employee compensation plans that could encourage the manipulation of reported earnings of Northeast to enhance the compensation of an employee;</w:t>
      </w:r>
    </w:p>
    <w:p>
      <w:pPr>
        <w:spacing w:after="0" w:line="170" w:lineRule="exact"/>
        <w:rPr>
          <w:rFonts w:ascii="Arial" w:cs="Arial" w:eastAsia="Arial" w:hAnsi="Arial"/>
          <w:sz w:val="18"/>
          <w:szCs w:val="18"/>
          <w:color w:val="auto"/>
        </w:rPr>
      </w:pPr>
    </w:p>
    <w:p>
      <w:pPr>
        <w:ind w:left="660" w:right="20" w:hanging="652"/>
        <w:spacing w:after="0" w:line="312" w:lineRule="auto"/>
        <w:tabs>
          <w:tab w:leader="none" w:pos="677"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Northeast has required that bonus payments to SEOs or any of the next 20 most highly compensated employees, as defined in the regulations and guidance established under Section 111 of EESA (bonus payments), be subject to a recovery or “clawback” provision during the Applicable Period if the bonus payments were based on materially inaccurate financial statements or any other materially inaccurate performance metric criteria;</w:t>
      </w:r>
    </w:p>
    <w:p>
      <w:pPr>
        <w:spacing w:after="0" w:line="146" w:lineRule="exact"/>
        <w:rPr>
          <w:rFonts w:ascii="Arial" w:cs="Arial" w:eastAsia="Arial" w:hAnsi="Arial"/>
          <w:sz w:val="16"/>
          <w:szCs w:val="16"/>
          <w:color w:val="auto"/>
        </w:rPr>
      </w:pPr>
    </w:p>
    <w:p>
      <w:pPr>
        <w:ind w:left="660" w:right="280" w:hanging="652"/>
        <w:spacing w:after="0" w:line="277" w:lineRule="auto"/>
        <w:tabs>
          <w:tab w:leader="none" w:pos="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has prohibited any golden parachute payment, as defined in the regulations and guidance established under Section 111 of EESA, to an SEO or any of the next five most highly compensated employees during the Applicable Period;</w:t>
      </w:r>
    </w:p>
    <w:p>
      <w:pPr>
        <w:spacing w:after="0" w:line="170" w:lineRule="exact"/>
        <w:rPr>
          <w:rFonts w:ascii="Arial" w:cs="Arial" w:eastAsia="Arial" w:hAnsi="Arial"/>
          <w:sz w:val="18"/>
          <w:szCs w:val="18"/>
          <w:color w:val="auto"/>
        </w:rPr>
      </w:pPr>
    </w:p>
    <w:p>
      <w:pPr>
        <w:ind w:left="660" w:right="660" w:hanging="652"/>
        <w:spacing w:after="0" w:line="277" w:lineRule="auto"/>
        <w:tabs>
          <w:tab w:leader="none" w:pos="6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has limited bonus payments to its applicable employee in accordance with Section 111 of EESA and the regulations and guidance established thereunder during the Applicable Period;</w:t>
      </w:r>
    </w:p>
    <w:p>
      <w:pPr>
        <w:spacing w:after="0" w:line="170" w:lineRule="exact"/>
        <w:rPr>
          <w:rFonts w:ascii="Arial" w:cs="Arial" w:eastAsia="Arial" w:hAnsi="Arial"/>
          <w:sz w:val="18"/>
          <w:szCs w:val="18"/>
          <w:color w:val="auto"/>
        </w:rPr>
      </w:pPr>
    </w:p>
    <w:p>
      <w:pPr>
        <w:ind w:left="660" w:right="120" w:hanging="652"/>
        <w:spacing w:after="0" w:line="277" w:lineRule="auto"/>
        <w:tabs>
          <w:tab w:leader="none" w:pos="6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and its employees have complied with the excessive or luxury expenditures policy, as defined in the regulations and guidance established under Section 111 of EESA, during the Applicable Period;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60" w:right="100"/>
        <w:spacing w:after="0" w:line="277" w:lineRule="auto"/>
        <w:rPr>
          <w:rFonts w:ascii="Arial" w:cs="Arial" w:eastAsia="Arial" w:hAnsi="Arial"/>
          <w:sz w:val="18"/>
          <w:szCs w:val="18"/>
          <w:color w:val="auto"/>
        </w:rPr>
      </w:pPr>
      <w:r>
        <w:rPr>
          <w:rFonts w:ascii="Arial" w:cs="Arial" w:eastAsia="Arial" w:hAnsi="Arial"/>
          <w:sz w:val="18"/>
          <w:szCs w:val="18"/>
          <w:color w:val="auto"/>
        </w:rPr>
        <w:t>any expenses that, pursuant to the policy, required approval of the board of directors, a committee of the board of directors, an SEO, or an executive officer with a similar level of responsibility were properly approved;</w:t>
      </w:r>
    </w:p>
    <w:p>
      <w:pPr>
        <w:spacing w:after="0" w:line="170" w:lineRule="exact"/>
        <w:rPr>
          <w:rFonts w:ascii="Arial" w:cs="Arial" w:eastAsia="Arial" w:hAnsi="Arial"/>
          <w:sz w:val="18"/>
          <w:szCs w:val="18"/>
          <w:color w:val="auto"/>
        </w:rPr>
      </w:pPr>
    </w:p>
    <w:p>
      <w:pPr>
        <w:ind w:left="660" w:right="60" w:hanging="652"/>
        <w:spacing w:after="0" w:line="257" w:lineRule="auto"/>
        <w:tabs>
          <w:tab w:leader="none" w:pos="6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repaid all obligations arising from financial assistance under TARP on November 28, 2012. Therefore, Northeast’s 2013 annual meeting of its shareholders will not occur during the TARP period and Northeast will not be required to permit a non-binding shareholder resolution on executive compensation at such meeting under the guidance established under Section 111(e) of EESA. Notwithstanding the foregoing, pursuant to the applicable federal securities rules and regulations, Northeast will permit a non-binding shareholder resolution on executive compensation paid or accrued during the most recently completed fiscal period ;</w:t>
      </w:r>
    </w:p>
    <w:p>
      <w:pPr>
        <w:spacing w:after="0" w:line="188" w:lineRule="exact"/>
        <w:rPr>
          <w:rFonts w:ascii="Arial" w:cs="Arial" w:eastAsia="Arial" w:hAnsi="Arial"/>
          <w:sz w:val="18"/>
          <w:szCs w:val="18"/>
          <w:color w:val="auto"/>
        </w:rPr>
      </w:pPr>
    </w:p>
    <w:p>
      <w:pPr>
        <w:ind w:left="660" w:right="180" w:hanging="652"/>
        <w:spacing w:after="0" w:line="264" w:lineRule="auto"/>
        <w:tabs>
          <w:tab w:leader="none" w:pos="6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181" w:lineRule="exact"/>
        <w:rPr>
          <w:rFonts w:ascii="Arial" w:cs="Arial" w:eastAsia="Arial" w:hAnsi="Arial"/>
          <w:sz w:val="18"/>
          <w:szCs w:val="18"/>
          <w:color w:val="auto"/>
        </w:rPr>
      </w:pPr>
    </w:p>
    <w:p>
      <w:pPr>
        <w:ind w:left="660" w:right="40" w:hanging="652"/>
        <w:spacing w:after="0" w:line="264" w:lineRule="auto"/>
        <w:tabs>
          <w:tab w:leader="none" w:pos="6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will disclose whether Northeast, the Board of Directors of Northeast or the compensation committee of Northeast has engaged during the Applicable Period, a compensation consultant; and the services the compensation consultant or any affiliate of the compensation consultant provided during this period;</w:t>
      </w:r>
    </w:p>
    <w:p>
      <w:pPr>
        <w:spacing w:after="0" w:line="181" w:lineRule="exact"/>
        <w:rPr>
          <w:rFonts w:ascii="Arial" w:cs="Arial" w:eastAsia="Arial" w:hAnsi="Arial"/>
          <w:sz w:val="18"/>
          <w:szCs w:val="18"/>
          <w:color w:val="auto"/>
        </w:rPr>
      </w:pPr>
    </w:p>
    <w:p>
      <w:pPr>
        <w:ind w:left="660" w:right="300" w:hanging="652"/>
        <w:spacing w:after="0" w:line="277" w:lineRule="auto"/>
        <w:tabs>
          <w:tab w:leader="none" w:pos="6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has prohibited the payment of any gross-ups, as defined in the regulations and guidance established under Section 111 of EESA, to the SEOs and the next 20 most highly compensated employees during the Applicable Period;</w:t>
      </w:r>
    </w:p>
    <w:p>
      <w:pPr>
        <w:spacing w:after="0" w:line="170" w:lineRule="exact"/>
        <w:rPr>
          <w:rFonts w:ascii="Arial" w:cs="Arial" w:eastAsia="Arial" w:hAnsi="Arial"/>
          <w:sz w:val="18"/>
          <w:szCs w:val="18"/>
          <w:color w:val="auto"/>
        </w:rPr>
      </w:pPr>
    </w:p>
    <w:p>
      <w:pPr>
        <w:ind w:left="660" w:right="440" w:hanging="652"/>
        <w:spacing w:after="0" w:line="277" w:lineRule="auto"/>
        <w:tabs>
          <w:tab w:leader="none" w:pos="6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Northeast has substantially complied with all other requirements related to employee compensation that are provided in the agreement between Northeast and Treasury, including any amendments;</w:t>
      </w:r>
    </w:p>
    <w:p>
      <w:pPr>
        <w:spacing w:after="0" w:line="170" w:lineRule="exact"/>
        <w:rPr>
          <w:rFonts w:ascii="Arial" w:cs="Arial" w:eastAsia="Arial" w:hAnsi="Arial"/>
          <w:sz w:val="18"/>
          <w:szCs w:val="18"/>
          <w:color w:val="auto"/>
        </w:rPr>
      </w:pPr>
    </w:p>
    <w:p>
      <w:pPr>
        <w:ind w:left="660" w:right="40" w:hanging="652"/>
        <w:spacing w:after="0" w:line="302" w:lineRule="auto"/>
        <w:tabs>
          <w:tab w:leader="none" w:pos="663"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Northeast has submitted to Treasury a complete and accurate list of the SEOs and the next 20 most highly compensated employees for the fiscal year ended June 30, 2013, with the non-SEOs ranked in descending order of level of annual compensation and with the name, title, and employer of each SEO and most highly compensated employee identified; because no portion of Northeast’s current fiscal year will be a TARP period, Northeast has not submitted to Treasury a list of the SEOs and the 20 most highly compensated employees for the current fiscal year;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-4122420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78" w:name="page79"/>
    <w:bookmarkEnd w:id="78"/>
    <w:p>
      <w:pPr>
        <w:ind w:left="660" w:hanging="652"/>
        <w:spacing w:after="0" w:line="277" w:lineRule="auto"/>
        <w:tabs>
          <w:tab w:leader="none" w:pos="6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understand that a knowing and willful false or fraudulent statement made in connection with this certification may be punished by fine, imprisonment or both. (See, for example, 18 USC 1001).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this 27th day of September,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Wayne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Claire S. Bean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Claire S.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680"/>
      </w:cols>
      <w:pgMar w:left="240" w:top="12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2"/>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lvl w:ilvl="1">
      <w:lvlJc w:val="left"/>
      <w:lvlText w:val="(%2)"/>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2"/>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1."/>
      <w:numFmt w:val="decimal"/>
      <w:start w:val="4"/>
    </w:lvl>
  </w:abstractNum>
  <w:abstractNum w:abstractNumId="33">
    <w:nsid w:val="2CD89A32"/>
    <w:multiLevelType w:val="hybridMultilevel"/>
    <w:lvl w:ilvl="0">
      <w:lvlJc w:val="left"/>
      <w:lvlText w:val="%1."/>
      <w:numFmt w:val="decimal"/>
      <w:start w:val="5"/>
    </w:lvl>
  </w:abstractNum>
  <w:abstractNum w:abstractNumId="34">
    <w:nsid w:val="57E4CCAF"/>
    <w:multiLevelType w:val="hybridMultilevel"/>
    <w:lvl w:ilvl="0">
      <w:lvlJc w:val="left"/>
      <w:lvlText w:val="%1."/>
      <w:numFmt w:val="decimal"/>
      <w:start w:val="7"/>
    </w:lvl>
  </w:abstractNum>
  <w:abstractNum w:abstractNumId="35">
    <w:nsid w:val="7A6D8D3C"/>
    <w:multiLevelType w:val="hybridMultilevel"/>
    <w:lvl w:ilvl="0">
      <w:lvlJc w:val="left"/>
      <w:lvlText w:val="%1."/>
      <w:numFmt w:val="decimal"/>
      <w:start w:val="8"/>
    </w:lvl>
  </w:abstractNum>
  <w:abstractNum w:abstractNumId="36">
    <w:nsid w:val="4B588F54"/>
    <w:multiLevelType w:val="hybridMultilevel"/>
    <w:lvl w:ilvl="0">
      <w:lvlJc w:val="left"/>
      <w:lvlText w:val="%1."/>
      <w:numFmt w:val="decimal"/>
      <w:start w:val="9"/>
    </w:lvl>
  </w:abstractNum>
  <w:abstractNum w:abstractNumId="37">
    <w:nsid w:val="542289EC"/>
    <w:multiLevelType w:val="hybridMultilevel"/>
    <w:lvl w:ilvl="0">
      <w:lvlJc w:val="left"/>
      <w:lvlText w:val="%1."/>
      <w:numFmt w:val="decimal"/>
      <w:start w:val="10"/>
    </w:lvl>
  </w:abstractNum>
  <w:abstractNum w:abstractNumId="38">
    <w:nsid w:val="6DE91B18"/>
    <w:multiLevelType w:val="hybridMultilevel"/>
    <w:lvl w:ilvl="0">
      <w:lvlJc w:val="left"/>
      <w:lvlText w:val="%1."/>
      <w:numFmt w:val="decimal"/>
      <w:start w:val="11"/>
    </w:lvl>
  </w:abstractNum>
  <w:abstractNum w:abstractNumId="39">
    <w:nsid w:val="38437FDB"/>
    <w:multiLevelType w:val="hybridMultilevel"/>
    <w:lvl w:ilvl="0">
      <w:lvlJc w:val="left"/>
      <w:lvlText w:val="%1."/>
      <w:numFmt w:val="decimal"/>
      <w:start w:val="12"/>
    </w:lvl>
  </w:abstractNum>
  <w:abstractNum w:abstractNumId="40">
    <w:nsid w:val="7644A45C"/>
    <w:multiLevelType w:val="hybridMultilevel"/>
    <w:lvl w:ilvl="0">
      <w:lvlJc w:val="left"/>
      <w:lvlText w:val="%1."/>
      <w:numFmt w:val="decimal"/>
      <w:start w:val="13"/>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4"/>
    </w:lvl>
  </w:abstractNum>
  <w:abstractNum w:abstractNumId="43">
    <w:nsid w:val="579478FE"/>
    <w:multiLevelType w:val="hybridMultilevel"/>
    <w:lvl w:ilvl="0">
      <w:lvlJc w:val="left"/>
      <w:lvlText w:val="%1."/>
      <w:numFmt w:val="decimal"/>
      <w:start w:val="16"/>
    </w:lvl>
  </w:abstractNum>
  <w:abstractNum w:abstractNumId="44">
    <w:nsid w:val="749ABB43"/>
    <w:multiLevelType w:val="hybridMultilevel"/>
    <w:lvl w:ilvl="0">
      <w:lvlJc w:val="left"/>
      <w:lvlText w:val="%1."/>
      <w:numFmt w:val="decimal"/>
      <w:start w:val="17"/>
    </w:lvl>
  </w:abstractNum>
  <w:abstractNum w:abstractNumId="45">
    <w:nsid w:val="3DC240FB"/>
    <w:multiLevelType w:val="hybridMultilevel"/>
    <w:lvl w:ilvl="0">
      <w:lvlJc w:val="left"/>
      <w:lvlText w:val="%1."/>
      <w:numFmt w:val="decimal"/>
      <w:start w:val="18"/>
    </w:lvl>
  </w:abstractNum>
  <w:abstractNum w:abstractNumId="46">
    <w:nsid w:val="1BA026FA"/>
    <w:multiLevelType w:val="hybridMultilevel"/>
    <w:lvl w:ilvl="0">
      <w:lvlJc w:val="left"/>
      <w:lvlText w:val="%1."/>
      <w:numFmt w:val="decimal"/>
      <w:start w:val="19"/>
    </w:lvl>
  </w:abstractNum>
  <w:abstractNum w:abstractNumId="47">
    <w:nsid w:val="79A1DEAA"/>
    <w:multiLevelType w:val="hybridMultilevel"/>
    <w:lvl w:ilvl="0">
      <w:lvlJc w:val="left"/>
      <w:lvlText w:val="%1."/>
      <w:numFmt w:val="decimal"/>
      <w:start w:val="20"/>
    </w:lvl>
  </w:abstractNum>
  <w:abstractNum w:abstractNumId="48">
    <w:nsid w:val="75C6C33A"/>
    <w:multiLevelType w:val="hybridMultilevel"/>
    <w:lvl w:ilvl="0">
      <w:lvlJc w:val="left"/>
      <w:lvlText w:val="%1."/>
      <w:numFmt w:val="decimal"/>
      <w:start w:val="2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lowerRoman"/>
      <w:start w:val="1"/>
    </w:lvl>
    <w:lvl w:ilvl="1">
      <w:lvlJc w:val="left"/>
      <w:lvlText w:val="%2."/>
      <w:numFmt w:val="lowerLetter"/>
      <w:start w:val="1"/>
    </w:lvl>
  </w:abstractNum>
  <w:abstractNum w:abstractNumId="54">
    <w:nsid w:val="23F9C13C"/>
    <w:multiLevelType w:val="hybridMultilevel"/>
    <w:lvl w:ilvl="0">
      <w:lvlJc w:val="left"/>
      <w:lvlText w:val="(%1)"/>
      <w:numFmt w:val="lowerRoman"/>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2019-12-06T00:18:07Z</dcterms:created>
  <dcterms:modified xsi:type="dcterms:W3CDTF">2019-12-06T00:18:07Z</dcterms:modified>
</cp:coreProperties>
</file>