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December 31, 2014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1-14588</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Northeast Bancorp</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3"/>
              </w:rPr>
              <w:t>Maine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01-0425066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500 Canal Street, Lewiston, Maine</w:t>
            </w:r>
          </w:p>
        </w:tc>
        <w:tc>
          <w:tcPr>
            <w:tcW w:w="3800" w:type="dxa"/>
            <w:vAlign w:val="bottom"/>
          </w:tcPr>
          <w:p>
            <w:pPr>
              <w:jc w:val="right"/>
              <w:ind w:right="990"/>
              <w:spacing w:after="0"/>
              <w:rPr>
                <w:sz w:val="20"/>
                <w:szCs w:val="20"/>
                <w:color w:val="auto"/>
              </w:rPr>
            </w:pPr>
            <w:r>
              <w:rPr>
                <w:rFonts w:ascii="Arial" w:cs="Arial" w:eastAsia="Arial" w:hAnsi="Arial"/>
                <w:sz w:val="18"/>
                <w:szCs w:val="18"/>
                <w:b w:val="1"/>
                <w:bCs w:val="1"/>
                <w:color w:val="auto"/>
              </w:rPr>
              <w:t>04240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(207) 786-3245</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firstLine="45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x No o</w:t>
      </w:r>
    </w:p>
    <w:p>
      <w:pPr>
        <w:spacing w:after="0" w:line="181" w:lineRule="exact"/>
        <w:rPr>
          <w:sz w:val="24"/>
          <w:szCs w:val="24"/>
          <w:color w:val="auto"/>
        </w:rPr>
      </w:pPr>
    </w:p>
    <w:p>
      <w:pPr>
        <w:ind w:right="200" w:firstLine="45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 of “accelerated filer”, “large accelerated filer” and “smaller reporting company” in Rule 12b-2 of the Exchange Act. (check one):</w:t>
      </w:r>
    </w:p>
    <w:p>
      <w:pPr>
        <w:sectPr>
          <w:pgSz w:w="11900" w:h="16838" w:orient="portrait"/>
          <w:cols w:equalWidth="0" w:num="1">
            <w:col w:w="11360"/>
          </w:cols>
          <w:pgMar w:left="240" w:top="233" w:right="299" w:bottom="0" w:gutter="0" w:footer="0" w:header="0"/>
        </w:sectPr>
      </w:pPr>
    </w:p>
    <w:p>
      <w:pPr>
        <w:spacing w:after="0" w:line="211"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00"/>
          </w:cols>
          <w:pgMar w:left="240" w:top="233" w:right="299" w:bottom="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6800" w:space="720"/>
            <w:col w:w="3840"/>
          </w:cols>
          <w:pgMar w:left="240" w:top="233" w:right="299" w:bottom="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right="80" w:firstLine="454"/>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January 31, 2015 the registrant had outstanding 8,957,474 shares of voting common stock, $1.00 par value per share and 880,963 shares of non-voting common stock, $1.00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tabs>
          <w:tab w:leader="none" w:pos="940" w:val="left"/>
        </w:tabs>
        <w:rPr>
          <w:rFonts w:ascii="Arial" w:cs="Arial" w:eastAsia="Arial" w:hAnsi="Arial"/>
          <w:sz w:val="17"/>
          <w:szCs w:val="17"/>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7"/>
            <w:szCs w:val="17"/>
            <w:b w:val="1"/>
            <w:bCs w:val="1"/>
            <w:u w:val="single" w:color="auto"/>
            <w:color w:val="0000EE"/>
          </w:rPr>
          <w:t>Financial Information</w:t>
        </w:r>
      </w:hyperlink>
    </w:p>
    <w:p>
      <w:pPr>
        <w:spacing w:after="0" w:line="27" w:lineRule="exact"/>
        <w:rPr>
          <w:sz w:val="20"/>
          <w:szCs w:val="20"/>
          <w:color w:val="auto"/>
        </w:rPr>
      </w:pPr>
    </w:p>
    <w:p>
      <w:pPr>
        <w:ind w:left="960"/>
        <w:spacing w:after="0"/>
        <w:tabs>
          <w:tab w:leader="none" w:pos="2160" w:val="left"/>
        </w:tabs>
        <w:rPr>
          <w:rFonts w:ascii="Arial" w:cs="Arial" w:eastAsia="Arial" w:hAnsi="Arial"/>
          <w:sz w:val="16"/>
          <w:szCs w:val="16"/>
          <w:b w:val="1"/>
          <w:bCs w:val="1"/>
          <w:u w:val="single" w:color="auto"/>
          <w:color w:val="0000EE"/>
        </w:rPr>
      </w:pPr>
      <w:hyperlink w:anchor="page2">
        <w:r>
          <w:rPr>
            <w:rFonts w:ascii="Arial" w:cs="Arial" w:eastAsia="Arial" w:hAnsi="Arial"/>
            <w:sz w:val="18"/>
            <w:szCs w:val="18"/>
            <w:b w:val="1"/>
            <w:bCs w:val="1"/>
            <w:u w:val="single" w:color="auto"/>
            <w:color w:val="0000EE"/>
          </w:rPr>
          <w:t>Item 1.</w:t>
        </w:r>
      </w:hyperlink>
      <w:r>
        <w:rPr>
          <w:rFonts w:ascii="Arial" w:cs="Arial" w:eastAsia="Arial" w:hAnsi="Arial"/>
          <w:sz w:val="18"/>
          <w:szCs w:val="18"/>
          <w:b w:val="1"/>
          <w:bCs w:val="1"/>
          <w:u w:val="single" w:color="auto"/>
          <w:color w:val="0000EE"/>
        </w:rPr>
        <w:tab/>
      </w:r>
      <w:hyperlink w:anchor="page2">
        <w:r>
          <w:rPr>
            <w:rFonts w:ascii="Arial" w:cs="Arial" w:eastAsia="Arial" w:hAnsi="Arial"/>
            <w:sz w:val="16"/>
            <w:szCs w:val="16"/>
            <w:b w:val="1"/>
            <w:bCs w:val="1"/>
            <w:u w:val="single" w:color="auto"/>
            <w:color w:val="0000EE"/>
          </w:rPr>
          <w:t>Financial Statements (unaudited)</w:t>
        </w:r>
      </w:hyperlink>
    </w:p>
    <w:p>
      <w:pPr>
        <w:spacing w:after="0" w:line="9"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Consolidated Balance Sheets</w:t>
        </w:r>
      </w:hyperlink>
    </w:p>
    <w:p>
      <w:pPr>
        <w:spacing w:after="0" w:line="9" w:lineRule="exact"/>
        <w:rPr>
          <w:sz w:val="20"/>
          <w:szCs w:val="20"/>
          <w:color w:val="auto"/>
        </w:rPr>
      </w:pPr>
    </w:p>
    <w:p>
      <w:pPr>
        <w:ind w:left="23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December 31, 2014 and June 30, 2014</w:t>
        </w:r>
      </w:hyperlink>
    </w:p>
    <w:p>
      <w:pPr>
        <w:spacing w:after="0" w:line="207"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Consolidated Statements of Income</w:t>
        </w:r>
      </w:hyperlink>
    </w:p>
    <w:p>
      <w:pPr>
        <w:spacing w:after="0" w:line="27" w:lineRule="exact"/>
        <w:rPr>
          <w:sz w:val="20"/>
          <w:szCs w:val="20"/>
          <w:color w:val="auto"/>
        </w:rPr>
      </w:pPr>
    </w:p>
    <w:p>
      <w:pPr>
        <w:ind w:left="23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Three Months Ended December 31, 2014 and 2013</w:t>
        </w:r>
      </w:hyperlink>
    </w:p>
    <w:p>
      <w:pPr>
        <w:spacing w:after="0" w:line="9" w:lineRule="exact"/>
        <w:rPr>
          <w:sz w:val="20"/>
          <w:szCs w:val="20"/>
          <w:color w:val="auto"/>
        </w:rPr>
      </w:pPr>
    </w:p>
    <w:p>
      <w:pPr>
        <w:ind w:left="23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Six Months Ended December 31, 2014 and 2013</w:t>
        </w:r>
      </w:hyperlink>
    </w:p>
    <w:p>
      <w:pPr>
        <w:spacing w:after="0" w:line="207"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Statements of Comprehensive Income</w:t>
        </w:r>
      </w:hyperlink>
    </w:p>
    <w:p>
      <w:pPr>
        <w:spacing w:after="0" w:line="27" w:lineRule="exact"/>
        <w:rPr>
          <w:sz w:val="20"/>
          <w:szCs w:val="20"/>
          <w:color w:val="auto"/>
        </w:rPr>
      </w:pPr>
    </w:p>
    <w:p>
      <w:pPr>
        <w:ind w:left="23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Three Months Ended December 31, 2014 and 2013</w:t>
        </w:r>
      </w:hyperlink>
    </w:p>
    <w:p>
      <w:pPr>
        <w:spacing w:after="0" w:line="9" w:lineRule="exact"/>
        <w:rPr>
          <w:sz w:val="20"/>
          <w:szCs w:val="20"/>
          <w:color w:val="auto"/>
        </w:rPr>
      </w:pPr>
    </w:p>
    <w:p>
      <w:pPr>
        <w:ind w:left="23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Six Months Ended December 31, 2014 and 2013</w:t>
        </w:r>
      </w:hyperlink>
    </w:p>
    <w:p>
      <w:pPr>
        <w:spacing w:after="0" w:line="207"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Statements of Changes in Stockholders’ Equity</w:t>
        </w:r>
      </w:hyperlink>
    </w:p>
    <w:p>
      <w:pPr>
        <w:spacing w:after="0" w:line="27" w:lineRule="exact"/>
        <w:rPr>
          <w:sz w:val="20"/>
          <w:szCs w:val="20"/>
          <w:color w:val="auto"/>
        </w:rPr>
      </w:pPr>
    </w:p>
    <w:p>
      <w:pPr>
        <w:ind w:left="23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Six Months Ended December 31, 2014 and 2013</w:t>
        </w:r>
      </w:hyperlink>
    </w:p>
    <w:p>
      <w:pPr>
        <w:spacing w:after="0" w:line="207"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Consolidated Statements of Cash Flows</w:t>
        </w:r>
      </w:hyperlink>
    </w:p>
    <w:p>
      <w:pPr>
        <w:spacing w:after="0" w:line="27" w:lineRule="exact"/>
        <w:rPr>
          <w:sz w:val="20"/>
          <w:szCs w:val="20"/>
          <w:color w:val="auto"/>
        </w:rPr>
      </w:pPr>
    </w:p>
    <w:p>
      <w:pPr>
        <w:ind w:left="236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Six Months Ended December 31, 2014 and 2013</w:t>
        </w:r>
      </w:hyperlink>
    </w:p>
    <w:p>
      <w:pPr>
        <w:sectPr>
          <w:pgSz w:w="11900" w:h="16838" w:orient="portrait"/>
          <w:cols w:equalWidth="0" w:num="1">
            <w:col w:w="11360"/>
          </w:cols>
          <w:pgMar w:left="240" w:top="233" w:right="299" w:bottom="0" w:gutter="0" w:footer="0" w:header="0"/>
          <w:type w:val="continuous"/>
        </w:sectPr>
      </w:pPr>
    </w:p>
    <w:bookmarkStart w:id="1" w:name="page2"/>
    <w:bookmarkEnd w:id="1"/>
    <w:p>
      <w:pPr>
        <w:spacing w:after="0" w:line="62"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Notes to Consolidated Financial Statements</w:t>
        </w:r>
      </w:hyperlink>
    </w:p>
    <w:p>
      <w:pPr>
        <w:spacing w:after="0" w:line="225" w:lineRule="exact"/>
        <w:rPr>
          <w:sz w:val="20"/>
          <w:szCs w:val="20"/>
          <w:color w:val="auto"/>
        </w:rPr>
      </w:pPr>
    </w:p>
    <w:p>
      <w:pPr>
        <w:ind w:left="960"/>
        <w:spacing w:after="0"/>
        <w:tabs>
          <w:tab w:leader="none" w:pos="2160" w:val="left"/>
        </w:tabs>
        <w:rPr>
          <w:rFonts w:ascii="Arial" w:cs="Arial" w:eastAsia="Arial" w:hAnsi="Arial"/>
          <w:sz w:val="16"/>
          <w:szCs w:val="16"/>
          <w:b w:val="1"/>
          <w:bCs w:val="1"/>
          <w:u w:val="single" w:color="auto"/>
          <w:color w:val="0000EE"/>
        </w:rPr>
      </w:pPr>
      <w:hyperlink w:anchor="page20">
        <w:r>
          <w:rPr>
            <w:rFonts w:ascii="Arial" w:cs="Arial" w:eastAsia="Arial" w:hAnsi="Arial"/>
            <w:sz w:val="18"/>
            <w:szCs w:val="18"/>
            <w:b w:val="1"/>
            <w:bCs w:val="1"/>
            <w:u w:val="single" w:color="auto"/>
            <w:color w:val="0000EE"/>
          </w:rPr>
          <w:t>Item 2.</w:t>
        </w:r>
      </w:hyperlink>
      <w:r>
        <w:rPr>
          <w:rFonts w:ascii="Arial" w:cs="Arial" w:eastAsia="Arial" w:hAnsi="Arial"/>
          <w:sz w:val="18"/>
          <w:szCs w:val="18"/>
          <w:b w:val="1"/>
          <w:bCs w:val="1"/>
          <w:u w:val="single" w:color="auto"/>
          <w:color w:val="0000EE"/>
        </w:rPr>
        <w:tab/>
      </w:r>
      <w:hyperlink w:anchor="page20">
        <w:r>
          <w:rPr>
            <w:rFonts w:ascii="Arial" w:cs="Arial" w:eastAsia="Arial" w:hAnsi="Arial"/>
            <w:sz w:val="16"/>
            <w:szCs w:val="16"/>
            <w:b w:val="1"/>
            <w:bCs w:val="1"/>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960"/>
        <w:spacing w:after="0"/>
        <w:tabs>
          <w:tab w:leader="none" w:pos="2160" w:val="left"/>
        </w:tabs>
        <w:rPr>
          <w:rFonts w:ascii="Arial" w:cs="Arial" w:eastAsia="Arial" w:hAnsi="Arial"/>
          <w:sz w:val="16"/>
          <w:szCs w:val="16"/>
          <w:b w:val="1"/>
          <w:bCs w:val="1"/>
          <w:u w:val="single" w:color="auto"/>
          <w:color w:val="0000EE"/>
        </w:rPr>
      </w:pPr>
      <w:hyperlink w:anchor="page33">
        <w:r>
          <w:rPr>
            <w:rFonts w:ascii="Arial" w:cs="Arial" w:eastAsia="Arial" w:hAnsi="Arial"/>
            <w:sz w:val="18"/>
            <w:szCs w:val="18"/>
            <w:b w:val="1"/>
            <w:bCs w:val="1"/>
            <w:u w:val="single" w:color="auto"/>
            <w:color w:val="0000EE"/>
          </w:rPr>
          <w:t>Item 3.</w:t>
        </w:r>
      </w:hyperlink>
      <w:r>
        <w:rPr>
          <w:rFonts w:ascii="Arial" w:cs="Arial" w:eastAsia="Arial" w:hAnsi="Arial"/>
          <w:sz w:val="18"/>
          <w:szCs w:val="18"/>
          <w:b w:val="1"/>
          <w:bCs w:val="1"/>
          <w:u w:val="single" w:color="auto"/>
          <w:color w:val="0000EE"/>
        </w:rPr>
        <w:tab/>
      </w:r>
      <w:hyperlink w:anchor="page33">
        <w:r>
          <w:rPr>
            <w:rFonts w:ascii="Arial" w:cs="Arial" w:eastAsia="Arial" w:hAnsi="Arial"/>
            <w:sz w:val="16"/>
            <w:szCs w:val="16"/>
            <w:b w:val="1"/>
            <w:bCs w:val="1"/>
            <w:u w:val="single" w:color="auto"/>
            <w:color w:val="0000EE"/>
          </w:rPr>
          <w:t>Quantitative and Qualitative Disclosure about Market Risk</w:t>
        </w:r>
      </w:hyperlink>
    </w:p>
    <w:p>
      <w:pPr>
        <w:spacing w:after="0" w:line="225" w:lineRule="exact"/>
        <w:rPr>
          <w:sz w:val="20"/>
          <w:szCs w:val="20"/>
          <w:color w:val="auto"/>
        </w:rPr>
      </w:pPr>
    </w:p>
    <w:p>
      <w:pPr>
        <w:ind w:left="960"/>
        <w:spacing w:after="0"/>
        <w:tabs>
          <w:tab w:leader="none" w:pos="2160" w:val="left"/>
        </w:tabs>
        <w:rPr>
          <w:rFonts w:ascii="Arial" w:cs="Arial" w:eastAsia="Arial" w:hAnsi="Arial"/>
          <w:sz w:val="16"/>
          <w:szCs w:val="16"/>
          <w:b w:val="1"/>
          <w:bCs w:val="1"/>
          <w:u w:val="single" w:color="auto"/>
          <w:color w:val="0000EE"/>
        </w:rPr>
      </w:pPr>
      <w:hyperlink w:anchor="page33">
        <w:r>
          <w:rPr>
            <w:rFonts w:ascii="Arial" w:cs="Arial" w:eastAsia="Arial" w:hAnsi="Arial"/>
            <w:sz w:val="18"/>
            <w:szCs w:val="18"/>
            <w:b w:val="1"/>
            <w:bCs w:val="1"/>
            <w:u w:val="single" w:color="auto"/>
            <w:color w:val="0000EE"/>
          </w:rPr>
          <w:t>Item 4.</w:t>
        </w:r>
      </w:hyperlink>
      <w:r>
        <w:rPr>
          <w:rFonts w:ascii="Arial" w:cs="Arial" w:eastAsia="Arial" w:hAnsi="Arial"/>
          <w:sz w:val="18"/>
          <w:szCs w:val="18"/>
          <w:b w:val="1"/>
          <w:bCs w:val="1"/>
          <w:u w:val="single" w:color="auto"/>
          <w:color w:val="0000EE"/>
        </w:rPr>
        <w:tab/>
      </w:r>
      <w:hyperlink w:anchor="page33">
        <w:r>
          <w:rPr>
            <w:rFonts w:ascii="Arial" w:cs="Arial" w:eastAsia="Arial" w:hAnsi="Arial"/>
            <w:sz w:val="16"/>
            <w:szCs w:val="16"/>
            <w:b w:val="1"/>
            <w:bCs w:val="1"/>
            <w:u w:val="single" w:color="auto"/>
            <w:color w:val="0000EE"/>
          </w:rPr>
          <w:t>Controls and Procedures</w:t>
        </w:r>
      </w:hyperlink>
    </w:p>
    <w:p>
      <w:pPr>
        <w:spacing w:after="0" w:line="225" w:lineRule="exact"/>
        <w:rPr>
          <w:sz w:val="20"/>
          <w:szCs w:val="20"/>
          <w:color w:val="auto"/>
        </w:rPr>
      </w:pPr>
    </w:p>
    <w:p>
      <w:pPr>
        <w:spacing w:after="0"/>
        <w:tabs>
          <w:tab w:leader="none" w:pos="940" w:val="left"/>
        </w:tabs>
        <w:rPr>
          <w:rFonts w:ascii="Arial" w:cs="Arial" w:eastAsia="Arial" w:hAnsi="Arial"/>
          <w:sz w:val="17"/>
          <w:szCs w:val="17"/>
          <w:b w:val="1"/>
          <w:bCs w:val="1"/>
          <w:u w:val="single" w:color="auto"/>
          <w:color w:val="0000EE"/>
        </w:rPr>
      </w:pPr>
      <w:hyperlink w:anchor="page33">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33">
        <w:r>
          <w:rPr>
            <w:rFonts w:ascii="Arial" w:cs="Arial" w:eastAsia="Arial" w:hAnsi="Arial"/>
            <w:sz w:val="17"/>
            <w:szCs w:val="17"/>
            <w:b w:val="1"/>
            <w:bCs w:val="1"/>
            <w:u w:val="single" w:color="auto"/>
            <w:color w:val="0000EE"/>
          </w:rPr>
          <w:t>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220" w:type="dxa"/>
            <w:vAlign w:val="bottom"/>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1.</w:t>
              </w:r>
            </w:hyperlink>
          </w:p>
        </w:tc>
        <w:tc>
          <w:tcPr>
            <w:tcW w:w="5620" w:type="dxa"/>
            <w:vAlign w:val="bottom"/>
            <w:gridSpan w:val="9"/>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Legal Proceedings</w:t>
              </w:r>
            </w:hyperlink>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rFonts w:ascii="Arial" w:cs="Arial" w:eastAsia="Arial" w:hAnsi="Arial"/>
                <w:sz w:val="18"/>
                <w:szCs w:val="18"/>
                <w:b w:val="1"/>
                <w:bCs w:val="1"/>
                <w:color w:val="0000EE"/>
                <w:w w:val="94"/>
              </w:rPr>
            </w:pPr>
            <w:hyperlink w:anchor="page33">
              <w:r>
                <w:rPr>
                  <w:rFonts w:ascii="Arial" w:cs="Arial" w:eastAsia="Arial" w:hAnsi="Arial"/>
                  <w:sz w:val="18"/>
                  <w:szCs w:val="18"/>
                  <w:b w:val="1"/>
                  <w:bCs w:val="1"/>
                  <w:color w:val="0000EE"/>
                  <w:w w:val="94"/>
                </w:rPr>
                <w:t>Item 1A.</w:t>
              </w:r>
            </w:hyperlink>
          </w:p>
        </w:tc>
        <w:tc>
          <w:tcPr>
            <w:tcW w:w="540" w:type="dxa"/>
            <w:vAlign w:val="bottom"/>
          </w:tcPr>
          <w:p>
            <w:pPr>
              <w:spacing w:after="0"/>
              <w:rPr>
                <w:sz w:val="24"/>
                <w:szCs w:val="24"/>
                <w:color w:val="auto"/>
              </w:rPr>
            </w:pPr>
          </w:p>
        </w:tc>
        <w:tc>
          <w:tcPr>
            <w:tcW w:w="98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3">
              <w:r>
                <w:rPr>
                  <w:rFonts w:ascii="Arial" w:cs="Arial" w:eastAsia="Arial" w:hAnsi="Arial"/>
                  <w:sz w:val="18"/>
                  <w:szCs w:val="18"/>
                  <w:b w:val="1"/>
                  <w:bCs w:val="1"/>
                  <w:color w:val="0000EE"/>
                  <w:w w:val="88"/>
                </w:rPr>
                <w:t>Risk Factors</w:t>
              </w:r>
            </w:hyperlink>
          </w:p>
        </w:tc>
        <w:tc>
          <w:tcPr>
            <w:tcW w:w="4640" w:type="dxa"/>
            <w:vAlign w:val="bottom"/>
            <w:gridSpan w:val="7"/>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96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2.</w:t>
              </w:r>
            </w:hyperlink>
          </w:p>
        </w:tc>
        <w:tc>
          <w:tcPr>
            <w:tcW w:w="5620" w:type="dxa"/>
            <w:vAlign w:val="bottom"/>
            <w:gridSpan w:val="9"/>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Unregistered Sales of Equity Securities and Use of Proceeds</w:t>
              </w:r>
            </w:hyperlink>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3.</w:t>
              </w:r>
            </w:hyperlink>
          </w:p>
        </w:tc>
        <w:tc>
          <w:tcPr>
            <w:tcW w:w="5620" w:type="dxa"/>
            <w:vAlign w:val="bottom"/>
            <w:gridSpan w:val="9"/>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Defaults Upon Senior Securities</w:t>
              </w:r>
            </w:hyperlink>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4.</w:t>
              </w:r>
            </w:hyperlink>
          </w:p>
        </w:tc>
        <w:tc>
          <w:tcPr>
            <w:tcW w:w="5620" w:type="dxa"/>
            <w:vAlign w:val="bottom"/>
            <w:gridSpan w:val="9"/>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Mine Safety Disclosures</w:t>
              </w:r>
            </w:hyperlink>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5.</w:t>
              </w:r>
            </w:hyperlink>
          </w:p>
        </w:tc>
        <w:tc>
          <w:tcPr>
            <w:tcW w:w="5620" w:type="dxa"/>
            <w:vAlign w:val="bottom"/>
            <w:gridSpan w:val="9"/>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6.</w:t>
              </w:r>
            </w:hyperlink>
          </w:p>
        </w:tc>
        <w:tc>
          <w:tcPr>
            <w:tcW w:w="5620" w:type="dxa"/>
            <w:vAlign w:val="bottom"/>
            <w:gridSpan w:val="9"/>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Exhibits</w:t>
              </w:r>
            </w:hyperlink>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9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940" w:type="dxa"/>
            <w:vAlign w:val="bottom"/>
            <w:gridSpan w:val="6"/>
          </w:tcPr>
          <w:p>
            <w:pPr>
              <w:jc w:val="right"/>
              <w:ind w:right="100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1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218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gridSpan w:val="4"/>
          </w:tcPr>
          <w:p>
            <w:pPr>
              <w:jc w:val="center"/>
              <w:ind w:right="305"/>
              <w:spacing w:after="0"/>
              <w:rPr>
                <w:sz w:val="20"/>
                <w:szCs w:val="20"/>
                <w:color w:val="auto"/>
              </w:rPr>
            </w:pPr>
            <w:r>
              <w:rPr>
                <w:rFonts w:ascii="Arial" w:cs="Arial" w:eastAsia="Arial" w:hAnsi="Arial"/>
                <w:sz w:val="18"/>
                <w:szCs w:val="18"/>
                <w:color w:val="auto"/>
                <w:w w:val="97"/>
              </w:rPr>
              <w:t>PART 1- FINANCIAL INFORMATION</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800" w:type="dxa"/>
            <w:vAlign w:val="bottom"/>
            <w:gridSpan w:val="14"/>
          </w:tcPr>
          <w:p>
            <w:pPr>
              <w:spacing w:after="0"/>
              <w:rPr>
                <w:sz w:val="20"/>
                <w:szCs w:val="20"/>
                <w:color w:val="auto"/>
              </w:rPr>
            </w:pPr>
            <w:r>
              <w:rPr>
                <w:rFonts w:ascii="Arial" w:cs="Arial" w:eastAsia="Arial" w:hAnsi="Arial"/>
                <w:sz w:val="18"/>
                <w:szCs w:val="18"/>
                <w:color w:val="auto"/>
              </w:rPr>
              <w:t>Item 1. Financial Statements (Unaudited)</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7800" w:type="dxa"/>
            <w:vAlign w:val="bottom"/>
            <w:gridSpan w:val="14"/>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7800" w:type="dxa"/>
            <w:vAlign w:val="bottom"/>
            <w:gridSpan w:val="14"/>
          </w:tcPr>
          <w:p>
            <w:pPr>
              <w:spacing w:after="0"/>
              <w:rPr>
                <w:sz w:val="20"/>
                <w:szCs w:val="20"/>
                <w:color w:val="auto"/>
              </w:rPr>
            </w:pPr>
            <w:r>
              <w:rPr>
                <w:rFonts w:ascii="Arial" w:cs="Arial" w:eastAsia="Arial" w:hAnsi="Arial"/>
                <w:sz w:val="18"/>
                <w:szCs w:val="18"/>
                <w:b w:val="1"/>
                <w:bCs w:val="1"/>
                <w:color w:val="auto"/>
              </w:rPr>
              <w:t>CONSOLIDATED BALANCE SHEETS</w:t>
            </w: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180" w:type="dxa"/>
            <w:vAlign w:val="bottom"/>
            <w:gridSpan w:val="5"/>
          </w:tcPr>
          <w:p>
            <w:pPr>
              <w:spacing w:after="0"/>
              <w:rPr>
                <w:sz w:val="20"/>
                <w:szCs w:val="20"/>
                <w:color w:val="auto"/>
              </w:rPr>
            </w:pPr>
            <w:r>
              <w:rPr>
                <w:rFonts w:ascii="Arial" w:cs="Arial" w:eastAsia="Arial" w:hAnsi="Arial"/>
                <w:sz w:val="18"/>
                <w:szCs w:val="18"/>
                <w:color w:val="auto"/>
              </w:rPr>
              <w:t>(Unaudited)</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7800" w:type="dxa"/>
            <w:vAlign w:val="bottom"/>
            <w:gridSpan w:val="14"/>
          </w:tcPr>
          <w:p>
            <w:pPr>
              <w:spacing w:after="0"/>
              <w:rPr>
                <w:sz w:val="20"/>
                <w:szCs w:val="20"/>
                <w:color w:val="auto"/>
              </w:rPr>
            </w:pPr>
            <w:r>
              <w:rPr>
                <w:rFonts w:ascii="Arial" w:cs="Arial" w:eastAsia="Arial" w:hAnsi="Arial"/>
                <w:sz w:val="18"/>
                <w:szCs w:val="18"/>
                <w:color w:val="auto"/>
              </w:rPr>
              <w:t>(Dollars in thousands, except share data)</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December 31, 2014</w:t>
            </w:r>
          </w:p>
        </w:tc>
        <w:tc>
          <w:tcPr>
            <w:tcW w:w="260" w:type="dxa"/>
            <w:vAlign w:val="bottom"/>
          </w:tcPr>
          <w:p>
            <w:pPr>
              <w:spacing w:after="0"/>
              <w:rPr>
                <w:sz w:val="24"/>
                <w:szCs w:val="24"/>
                <w:color w:val="auto"/>
              </w:rPr>
            </w:pPr>
          </w:p>
        </w:tc>
        <w:tc>
          <w:tcPr>
            <w:tcW w:w="158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 2014</w:t>
            </w: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CCEEFF"/>
            </w:tcBorders>
            <w:gridSpan w:val="6"/>
            <w:shd w:val="clear" w:color="auto" w:fill="CCEEFF"/>
          </w:tcPr>
          <w:p>
            <w:pPr>
              <w:jc w:val="center"/>
              <w:ind w:right="3460"/>
              <w:spacing w:after="0" w:line="196" w:lineRule="exact"/>
              <w:rPr>
                <w:sz w:val="20"/>
                <w:szCs w:val="20"/>
                <w:color w:val="auto"/>
              </w:rPr>
            </w:pPr>
            <w:r>
              <w:rPr>
                <w:rFonts w:ascii="Arial" w:cs="Arial" w:eastAsia="Arial" w:hAnsi="Arial"/>
                <w:sz w:val="18"/>
                <w:szCs w:val="18"/>
                <w:color w:val="auto"/>
                <w:w w:val="88"/>
              </w:rPr>
              <w:t>Assets</w:t>
            </w: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180" w:type="dxa"/>
            <w:vAlign w:val="bottom"/>
            <w:gridSpan w:val="5"/>
          </w:tcPr>
          <w:p>
            <w:pPr>
              <w:spacing w:after="0"/>
              <w:rPr>
                <w:sz w:val="20"/>
                <w:szCs w:val="20"/>
                <w:color w:val="auto"/>
              </w:rPr>
            </w:pPr>
            <w:r>
              <w:rPr>
                <w:rFonts w:ascii="Arial" w:cs="Arial" w:eastAsia="Arial" w:hAnsi="Arial"/>
                <w:sz w:val="18"/>
                <w:szCs w:val="18"/>
                <w:color w:val="auto"/>
              </w:rPr>
              <w:t>Cash and due from banks</w:t>
            </w:r>
          </w:p>
        </w:tc>
        <w:tc>
          <w:tcPr>
            <w:tcW w:w="5620" w:type="dxa"/>
            <w:vAlign w:val="bottom"/>
            <w:gridSpan w:val="9"/>
          </w:tcPr>
          <w:p>
            <w:pPr>
              <w:jc w:val="right"/>
              <w:ind w:right="2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2,626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3,372</w:t>
            </w:r>
          </w:p>
        </w:tc>
        <w:tc>
          <w:tcPr>
            <w:tcW w:w="40" w:type="dxa"/>
            <w:vAlign w:val="bottom"/>
          </w:tcPr>
          <w:p>
            <w:pPr>
              <w:spacing w:after="0"/>
              <w:rPr>
                <w:sz w:val="18"/>
                <w:szCs w:val="18"/>
                <w:color w:val="auto"/>
              </w:rPr>
            </w:pPr>
          </w:p>
        </w:tc>
      </w:tr>
      <w:tr>
        <w:trPr>
          <w:trHeight w:val="216"/>
        </w:trPr>
        <w:tc>
          <w:tcPr>
            <w:tcW w:w="2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80,643</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78,887</w:t>
            </w:r>
          </w:p>
        </w:tc>
        <w:tc>
          <w:tcPr>
            <w:tcW w:w="40" w:type="dxa"/>
            <w:vAlign w:val="bottom"/>
          </w:tcPr>
          <w:p>
            <w:pPr>
              <w:spacing w:after="0"/>
              <w:rPr>
                <w:sz w:val="18"/>
                <w:szCs w:val="18"/>
                <w:color w:val="auto"/>
              </w:rPr>
            </w:pPr>
          </w:p>
        </w:tc>
      </w:tr>
      <w:tr>
        <w:trPr>
          <w:trHeight w:val="210"/>
        </w:trPr>
        <w:tc>
          <w:tcPr>
            <w:tcW w:w="7620" w:type="dxa"/>
            <w:vAlign w:val="bottom"/>
            <w:gridSpan w:val="13"/>
          </w:tcPr>
          <w:p>
            <w:pPr>
              <w:ind w:left="54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83,269</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Available-for-sale securities, at fair value</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107,841</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113,881</w:t>
            </w:r>
          </w:p>
        </w:tc>
        <w:tc>
          <w:tcPr>
            <w:tcW w:w="40" w:type="dxa"/>
            <w:vAlign w:val="bottom"/>
          </w:tcPr>
          <w:p>
            <w:pPr>
              <w:spacing w:after="0"/>
              <w:rPr>
                <w:sz w:val="18"/>
                <w:szCs w:val="18"/>
                <w:color w:val="auto"/>
              </w:rPr>
            </w:pPr>
          </w:p>
        </w:tc>
      </w:tr>
      <w:tr>
        <w:trPr>
          <w:trHeight w:val="216"/>
        </w:trPr>
        <w:tc>
          <w:tcPr>
            <w:tcW w:w="2180" w:type="dxa"/>
            <w:vAlign w:val="bottom"/>
            <w:gridSpan w:val="5"/>
          </w:tcPr>
          <w:p>
            <w:pPr>
              <w:spacing w:after="0"/>
              <w:rPr>
                <w:sz w:val="20"/>
                <w:szCs w:val="20"/>
                <w:color w:val="auto"/>
              </w:rPr>
            </w:pPr>
            <w:r>
              <w:rPr>
                <w:rFonts w:ascii="Arial" w:cs="Arial" w:eastAsia="Arial" w:hAnsi="Arial"/>
                <w:sz w:val="18"/>
                <w:szCs w:val="18"/>
                <w:color w:val="auto"/>
              </w:rPr>
              <w:t>Loans held for sale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5,154</w:t>
            </w: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11,945</w:t>
            </w:r>
          </w:p>
        </w:tc>
        <w:tc>
          <w:tcPr>
            <w:tcW w:w="40" w:type="dxa"/>
            <w:vAlign w:val="bottom"/>
          </w:tcPr>
          <w:p>
            <w:pPr>
              <w:spacing w:after="0"/>
              <w:rPr>
                <w:sz w:val="18"/>
                <w:szCs w:val="18"/>
                <w:color w:val="auto"/>
              </w:rPr>
            </w:pPr>
          </w:p>
        </w:tc>
      </w:tr>
      <w:tr>
        <w:trPr>
          <w:trHeight w:val="216"/>
        </w:trPr>
        <w:tc>
          <w:tcPr>
            <w:tcW w:w="2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Loans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575,335</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516,416</w:t>
            </w:r>
          </w:p>
        </w:tc>
        <w:tc>
          <w:tcPr>
            <w:tcW w:w="40" w:type="dxa"/>
            <w:vAlign w:val="bottom"/>
          </w:tcPr>
          <w:p>
            <w:pPr>
              <w:spacing w:after="0"/>
              <w:rPr>
                <w:sz w:val="18"/>
                <w:szCs w:val="18"/>
                <w:color w:val="auto"/>
              </w:rPr>
            </w:pPr>
          </w:p>
        </w:tc>
      </w:tr>
      <w:tr>
        <w:trPr>
          <w:trHeight w:val="216"/>
        </w:trPr>
        <w:tc>
          <w:tcPr>
            <w:tcW w:w="7800" w:type="dxa"/>
            <w:vAlign w:val="bottom"/>
            <w:gridSpan w:val="14"/>
          </w:tcPr>
          <w:p>
            <w:pPr>
              <w:spacing w:after="0"/>
              <w:rPr>
                <w:sz w:val="20"/>
                <w:szCs w:val="20"/>
                <w:color w:val="auto"/>
              </w:rPr>
            </w:pPr>
            <w:r>
              <w:rPr>
                <w:rFonts w:ascii="Arial" w:cs="Arial" w:eastAsia="Arial" w:hAnsi="Arial"/>
                <w:sz w:val="18"/>
                <w:szCs w:val="18"/>
                <w:color w:val="auto"/>
              </w:rPr>
              <w:t>Less: Allowance for loan losses</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1,664</w:t>
            </w: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1,367</w:t>
            </w:r>
          </w:p>
        </w:tc>
        <w:tc>
          <w:tcPr>
            <w:tcW w:w="40" w:type="dxa"/>
            <w:vAlign w:val="bottom"/>
          </w:tcPr>
          <w:p>
            <w:pPr>
              <w:spacing w:after="0"/>
              <w:rPr>
                <w:sz w:val="18"/>
                <w:szCs w:val="18"/>
                <w:color w:val="auto"/>
              </w:rPr>
            </w:pPr>
          </w:p>
        </w:tc>
      </w:tr>
      <w:tr>
        <w:trPr>
          <w:trHeight w:val="210"/>
        </w:trPr>
        <w:tc>
          <w:tcPr>
            <w:tcW w:w="2180" w:type="dxa"/>
            <w:vAlign w:val="bottom"/>
            <w:tcBorders>
              <w:top w:val="single" w:sz="8" w:color="CCEEFF"/>
            </w:tcBorders>
            <w:gridSpan w:val="5"/>
            <w:shd w:val="clear" w:color="auto" w:fill="CCEEFF"/>
          </w:tcPr>
          <w:p>
            <w:pPr>
              <w:ind w:left="540"/>
              <w:spacing w:after="0"/>
              <w:rPr>
                <w:sz w:val="20"/>
                <w:szCs w:val="20"/>
                <w:color w:val="auto"/>
              </w:rPr>
            </w:pPr>
            <w:r>
              <w:rPr>
                <w:rFonts w:ascii="Arial" w:cs="Arial" w:eastAsia="Arial" w:hAnsi="Arial"/>
                <w:sz w:val="18"/>
                <w:szCs w:val="18"/>
                <w:color w:val="auto"/>
              </w:rPr>
              <w:t>Loans, net</w:t>
            </w: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573,671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515,049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180" w:type="dxa"/>
            <w:vAlign w:val="bottom"/>
            <w:gridSpan w:val="5"/>
          </w:tcPr>
          <w:p>
            <w:pPr>
              <w:spacing w:after="0"/>
              <w:rPr>
                <w:sz w:val="20"/>
                <w:szCs w:val="20"/>
                <w:color w:val="auto"/>
              </w:rPr>
            </w:pPr>
            <w:r>
              <w:rPr>
                <w:rFonts w:ascii="Arial" w:cs="Arial" w:eastAsia="Arial" w:hAnsi="Arial"/>
                <w:sz w:val="18"/>
                <w:szCs w:val="18"/>
                <w:color w:val="auto"/>
                <w:w w:val="92"/>
              </w:rPr>
              <w:t>Premises and equipment, net</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8,494</w:t>
            </w: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9,135</w:t>
            </w:r>
          </w:p>
        </w:tc>
        <w:tc>
          <w:tcPr>
            <w:tcW w:w="40" w:type="dxa"/>
            <w:vAlign w:val="bottom"/>
          </w:tcPr>
          <w:p>
            <w:pPr>
              <w:spacing w:after="0"/>
              <w:rPr>
                <w:sz w:val="18"/>
                <w:szCs w:val="18"/>
                <w:color w:val="auto"/>
              </w:rPr>
            </w:pPr>
          </w:p>
        </w:tc>
      </w:tr>
      <w:tr>
        <w:trPr>
          <w:trHeight w:val="216"/>
        </w:trPr>
        <w:tc>
          <w:tcPr>
            <w:tcW w:w="78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2,058</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w:t>
            </w:r>
          </w:p>
        </w:tc>
        <w:tc>
          <w:tcPr>
            <w:tcW w:w="40" w:type="dxa"/>
            <w:vAlign w:val="bottom"/>
          </w:tcPr>
          <w:p>
            <w:pPr>
              <w:spacing w:after="0"/>
              <w:rPr>
                <w:sz w:val="18"/>
                <w:szCs w:val="18"/>
                <w:color w:val="auto"/>
              </w:rPr>
            </w:pPr>
          </w:p>
        </w:tc>
      </w:tr>
      <w:tr>
        <w:trPr>
          <w:trHeight w:val="216"/>
        </w:trPr>
        <w:tc>
          <w:tcPr>
            <w:tcW w:w="7800" w:type="dxa"/>
            <w:vAlign w:val="bottom"/>
            <w:gridSpan w:val="14"/>
          </w:tcPr>
          <w:p>
            <w:pPr>
              <w:spacing w:after="0"/>
              <w:rPr>
                <w:sz w:val="20"/>
                <w:szCs w:val="20"/>
                <w:color w:val="auto"/>
              </w:rPr>
            </w:pPr>
            <w:r>
              <w:rPr>
                <w:rFonts w:ascii="Arial" w:cs="Arial" w:eastAsia="Arial" w:hAnsi="Arial"/>
                <w:sz w:val="18"/>
                <w:szCs w:val="18"/>
                <w:color w:val="auto"/>
              </w:rPr>
              <w:t>Federal Home Loan Bank stock, at cost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4,102</w:t>
            </w: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4,102</w:t>
            </w:r>
          </w:p>
        </w:tc>
        <w:tc>
          <w:tcPr>
            <w:tcW w:w="40" w:type="dxa"/>
            <w:vAlign w:val="bottom"/>
          </w:tcPr>
          <w:p>
            <w:pPr>
              <w:spacing w:after="0"/>
              <w:rPr>
                <w:sz w:val="18"/>
                <w:szCs w:val="18"/>
                <w:color w:val="auto"/>
              </w:rPr>
            </w:pPr>
          </w:p>
        </w:tc>
      </w:tr>
      <w:tr>
        <w:trPr>
          <w:trHeight w:val="216"/>
        </w:trPr>
        <w:tc>
          <w:tcPr>
            <w:tcW w:w="2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2,467</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w:t>
            </w:r>
          </w:p>
        </w:tc>
        <w:tc>
          <w:tcPr>
            <w:tcW w:w="40" w:type="dxa"/>
            <w:vAlign w:val="bottom"/>
          </w:tcPr>
          <w:p>
            <w:pPr>
              <w:spacing w:after="0"/>
              <w:rPr>
                <w:sz w:val="18"/>
                <w:szCs w:val="18"/>
                <w:color w:val="auto"/>
              </w:rPr>
            </w:pPr>
          </w:p>
        </w:tc>
      </w:tr>
      <w:tr>
        <w:trPr>
          <w:trHeight w:val="216"/>
        </w:trPr>
        <w:tc>
          <w:tcPr>
            <w:tcW w:w="2180" w:type="dxa"/>
            <w:vAlign w:val="bottom"/>
            <w:gridSpan w:val="5"/>
          </w:tcPr>
          <w:p>
            <w:pPr>
              <w:spacing w:after="0"/>
              <w:rPr>
                <w:sz w:val="20"/>
                <w:szCs w:val="20"/>
                <w:color w:val="auto"/>
              </w:rPr>
            </w:pPr>
            <w:r>
              <w:rPr>
                <w:rFonts w:ascii="Arial" w:cs="Arial" w:eastAsia="Arial" w:hAnsi="Arial"/>
                <w:sz w:val="18"/>
                <w:szCs w:val="18"/>
                <w:color w:val="auto"/>
              </w:rPr>
              <w:t>Bank owned life insurance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15,055</w:t>
            </w: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14,836</w:t>
            </w:r>
          </w:p>
        </w:tc>
        <w:tc>
          <w:tcPr>
            <w:tcW w:w="40" w:type="dxa"/>
            <w:vAlign w:val="bottom"/>
          </w:tcPr>
          <w:p>
            <w:pPr>
              <w:spacing w:after="0"/>
              <w:rPr>
                <w:sz w:val="18"/>
                <w:szCs w:val="18"/>
                <w:color w:val="auto"/>
              </w:rPr>
            </w:pPr>
          </w:p>
        </w:tc>
      </w:tr>
      <w:tr>
        <w:trPr>
          <w:trHeight w:val="216"/>
        </w:trPr>
        <w:tc>
          <w:tcPr>
            <w:tcW w:w="2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assets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7,924</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w:t>
            </w:r>
          </w:p>
        </w:tc>
        <w:tc>
          <w:tcPr>
            <w:tcW w:w="40" w:type="dxa"/>
            <w:vAlign w:val="bottom"/>
          </w:tcPr>
          <w:p>
            <w:pPr>
              <w:spacing w:after="0"/>
              <w:rPr>
                <w:sz w:val="18"/>
                <w:szCs w:val="18"/>
                <w:color w:val="auto"/>
              </w:rPr>
            </w:pPr>
          </w:p>
        </w:tc>
      </w:tr>
      <w:tr>
        <w:trPr>
          <w:trHeight w:val="250"/>
        </w:trPr>
        <w:tc>
          <w:tcPr>
            <w:tcW w:w="2180" w:type="dxa"/>
            <w:vAlign w:val="bottom"/>
            <w:tcBorders>
              <w:bottom w:val="single" w:sz="8" w:color="CCEEFF"/>
            </w:tcBorders>
            <w:gridSpan w:val="5"/>
          </w:tcPr>
          <w:p>
            <w:pPr>
              <w:ind w:left="18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2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810,035</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761,931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70"/>
        </w:trPr>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440" w:type="dxa"/>
            <w:vAlign w:val="bottom"/>
            <w:gridSpan w:val="8"/>
            <w:shd w:val="clear" w:color="auto" w:fill="CCEEFF"/>
          </w:tcPr>
          <w:p>
            <w:pPr>
              <w:jc w:val="center"/>
              <w:ind w:right="2480"/>
              <w:spacing w:after="0" w:line="170" w:lineRule="exact"/>
              <w:rPr>
                <w:sz w:val="20"/>
                <w:szCs w:val="20"/>
                <w:color w:val="auto"/>
              </w:rPr>
            </w:pPr>
            <w:r>
              <w:rPr>
                <w:rFonts w:ascii="Arial" w:cs="Arial" w:eastAsia="Arial" w:hAnsi="Arial"/>
                <w:sz w:val="18"/>
                <w:szCs w:val="18"/>
                <w:color w:val="auto"/>
                <w:w w:val="93"/>
              </w:rPr>
              <w:t>Liabilities and Stockholders’ Equity</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180" w:type="dxa"/>
            <w:vAlign w:val="bottom"/>
            <w:gridSpan w:val="5"/>
          </w:tcPr>
          <w:p>
            <w:pPr>
              <w:spacing w:after="0"/>
              <w:rPr>
                <w:sz w:val="20"/>
                <w:szCs w:val="20"/>
                <w:color w:val="auto"/>
              </w:rPr>
            </w:pPr>
            <w:r>
              <w:rPr>
                <w:rFonts w:ascii="Arial" w:cs="Arial" w:eastAsia="Arial" w:hAnsi="Arial"/>
                <w:sz w:val="18"/>
                <w:szCs w:val="18"/>
                <w:color w:val="auto"/>
              </w:rPr>
              <w:t>Liabilities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1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180" w:type="dxa"/>
            <w:vAlign w:val="bottom"/>
            <w:gridSpan w:val="5"/>
          </w:tcPr>
          <w:p>
            <w:pPr>
              <w:ind w:left="360"/>
              <w:spacing w:after="0"/>
              <w:rPr>
                <w:sz w:val="20"/>
                <w:szCs w:val="20"/>
                <w:color w:val="auto"/>
              </w:rPr>
            </w:pPr>
            <w:r>
              <w:rPr>
                <w:rFonts w:ascii="Arial" w:cs="Arial" w:eastAsia="Arial" w:hAnsi="Arial"/>
                <w:sz w:val="18"/>
                <w:szCs w:val="18"/>
                <w:color w:val="auto"/>
              </w:rPr>
              <w:t>Demand</w:t>
            </w:r>
          </w:p>
        </w:tc>
        <w:tc>
          <w:tcPr>
            <w:tcW w:w="5620" w:type="dxa"/>
            <w:vAlign w:val="bottom"/>
            <w:gridSpan w:val="9"/>
          </w:tcPr>
          <w:p>
            <w:pPr>
              <w:jc w:val="right"/>
              <w:ind w:right="2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51,920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50,140</w:t>
            </w:r>
          </w:p>
        </w:tc>
        <w:tc>
          <w:tcPr>
            <w:tcW w:w="40" w:type="dxa"/>
            <w:vAlign w:val="bottom"/>
          </w:tcPr>
          <w:p>
            <w:pPr>
              <w:spacing w:after="0"/>
              <w:rPr>
                <w:sz w:val="18"/>
                <w:szCs w:val="18"/>
                <w:color w:val="auto"/>
              </w:rPr>
            </w:pPr>
          </w:p>
        </w:tc>
      </w:tr>
      <w:tr>
        <w:trPr>
          <w:trHeight w:val="216"/>
        </w:trPr>
        <w:tc>
          <w:tcPr>
            <w:tcW w:w="7800" w:type="dxa"/>
            <w:vAlign w:val="bottom"/>
            <w:gridSpan w:val="14"/>
            <w:shd w:val="clear" w:color="auto" w:fill="CCEEFF"/>
          </w:tcPr>
          <w:p>
            <w:pPr>
              <w:ind w:left="360"/>
              <w:spacing w:after="0"/>
              <w:rPr>
                <w:sz w:val="20"/>
                <w:szCs w:val="20"/>
                <w:color w:val="auto"/>
              </w:rPr>
            </w:pPr>
            <w:r>
              <w:rPr>
                <w:rFonts w:ascii="Arial" w:cs="Arial" w:eastAsia="Arial" w:hAnsi="Arial"/>
                <w:sz w:val="18"/>
                <w:szCs w:val="18"/>
                <w:color w:val="auto"/>
              </w:rPr>
              <w:t>Savings and interest checking</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95,373</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98,340</w:t>
            </w:r>
          </w:p>
        </w:tc>
        <w:tc>
          <w:tcPr>
            <w:tcW w:w="40" w:type="dxa"/>
            <w:vAlign w:val="bottom"/>
          </w:tcPr>
          <w:p>
            <w:pPr>
              <w:spacing w:after="0"/>
              <w:rPr>
                <w:sz w:val="18"/>
                <w:szCs w:val="18"/>
                <w:color w:val="auto"/>
              </w:rPr>
            </w:pPr>
          </w:p>
        </w:tc>
      </w:tr>
      <w:tr>
        <w:trPr>
          <w:trHeight w:val="216"/>
        </w:trPr>
        <w:tc>
          <w:tcPr>
            <w:tcW w:w="2180" w:type="dxa"/>
            <w:vAlign w:val="bottom"/>
            <w:gridSpan w:val="5"/>
          </w:tcPr>
          <w:p>
            <w:pPr>
              <w:ind w:left="360"/>
              <w:spacing w:after="0"/>
              <w:rPr>
                <w:sz w:val="20"/>
                <w:szCs w:val="20"/>
                <w:color w:val="auto"/>
              </w:rPr>
            </w:pPr>
            <w:r>
              <w:rPr>
                <w:rFonts w:ascii="Arial" w:cs="Arial" w:eastAsia="Arial" w:hAnsi="Arial"/>
                <w:sz w:val="18"/>
                <w:szCs w:val="18"/>
                <w:color w:val="auto"/>
              </w:rPr>
              <w:t>Money market</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144,523</w:t>
            </w: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83,901</w:t>
            </w:r>
          </w:p>
        </w:tc>
        <w:tc>
          <w:tcPr>
            <w:tcW w:w="40" w:type="dxa"/>
            <w:vAlign w:val="bottom"/>
          </w:tcPr>
          <w:p>
            <w:pPr>
              <w:spacing w:after="0"/>
              <w:rPr>
                <w:sz w:val="18"/>
                <w:szCs w:val="18"/>
                <w:color w:val="auto"/>
              </w:rPr>
            </w:pPr>
          </w:p>
        </w:tc>
      </w:tr>
      <w:tr>
        <w:trPr>
          <w:trHeight w:val="216"/>
        </w:trPr>
        <w:tc>
          <w:tcPr>
            <w:tcW w:w="218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Time</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339,904</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341,948</w:t>
            </w:r>
          </w:p>
        </w:tc>
        <w:tc>
          <w:tcPr>
            <w:tcW w:w="40" w:type="dxa"/>
            <w:vAlign w:val="bottom"/>
          </w:tcPr>
          <w:p>
            <w:pPr>
              <w:spacing w:after="0"/>
              <w:rPr>
                <w:sz w:val="18"/>
                <w:szCs w:val="18"/>
                <w:color w:val="auto"/>
              </w:rPr>
            </w:pPr>
          </w:p>
        </w:tc>
      </w:tr>
      <w:tr>
        <w:trPr>
          <w:trHeight w:val="210"/>
        </w:trPr>
        <w:tc>
          <w:tcPr>
            <w:tcW w:w="2180" w:type="dxa"/>
            <w:vAlign w:val="bottom"/>
            <w:gridSpan w:val="5"/>
          </w:tcPr>
          <w:p>
            <w:pPr>
              <w:ind w:left="540"/>
              <w:spacing w:after="0"/>
              <w:rPr>
                <w:sz w:val="20"/>
                <w:szCs w:val="20"/>
                <w:color w:val="auto"/>
              </w:rPr>
            </w:pPr>
            <w:r>
              <w:rPr>
                <w:rFonts w:ascii="Arial" w:cs="Arial" w:eastAsia="Arial" w:hAnsi="Arial"/>
                <w:sz w:val="18"/>
                <w:szCs w:val="18"/>
                <w:color w:val="auto"/>
              </w:rPr>
              <w:t>Total deposits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631,720</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574,329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00" w:type="dxa"/>
            <w:vAlign w:val="bottom"/>
            <w:gridSpan w:val="14"/>
            <w:shd w:val="clear" w:color="auto" w:fill="CCEEFF"/>
          </w:tcPr>
          <w:p>
            <w:pPr>
              <w:ind w:left="180"/>
              <w:spacing w:after="0"/>
              <w:rPr>
                <w:sz w:val="20"/>
                <w:szCs w:val="20"/>
                <w:color w:val="auto"/>
              </w:rPr>
            </w:pPr>
            <w:r>
              <w:rPr>
                <w:rFonts w:ascii="Arial" w:cs="Arial" w:eastAsia="Arial" w:hAnsi="Arial"/>
                <w:sz w:val="18"/>
                <w:szCs w:val="18"/>
                <w:color w:val="auto"/>
              </w:rPr>
              <w:t>Federal Home Loan Bank advances</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35,244</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42,824</w:t>
            </w:r>
          </w:p>
        </w:tc>
        <w:tc>
          <w:tcPr>
            <w:tcW w:w="40" w:type="dxa"/>
            <w:vAlign w:val="bottom"/>
          </w:tcPr>
          <w:p>
            <w:pPr>
              <w:spacing w:after="0"/>
              <w:rPr>
                <w:sz w:val="18"/>
                <w:szCs w:val="18"/>
                <w:color w:val="auto"/>
              </w:rPr>
            </w:pPr>
          </w:p>
        </w:tc>
      </w:tr>
      <w:tr>
        <w:trPr>
          <w:trHeight w:val="216"/>
        </w:trPr>
        <w:tc>
          <w:tcPr>
            <w:tcW w:w="7800" w:type="dxa"/>
            <w:vAlign w:val="bottom"/>
            <w:gridSpan w:val="14"/>
          </w:tcPr>
          <w:p>
            <w:pPr>
              <w:ind w:left="180"/>
              <w:spacing w:after="0"/>
              <w:rPr>
                <w:sz w:val="20"/>
                <w:szCs w:val="20"/>
                <w:color w:val="auto"/>
              </w:rPr>
            </w:pPr>
            <w:r>
              <w:rPr>
                <w:rFonts w:ascii="Arial" w:cs="Arial" w:eastAsia="Arial" w:hAnsi="Arial"/>
                <w:sz w:val="18"/>
                <w:szCs w:val="18"/>
                <w:color w:val="auto"/>
              </w:rPr>
              <w:t>Wholesale repurchase agreements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10,117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10,199</w:t>
            </w:r>
          </w:p>
        </w:tc>
        <w:tc>
          <w:tcPr>
            <w:tcW w:w="40" w:type="dxa"/>
            <w:vAlign w:val="bottom"/>
          </w:tcPr>
          <w:p>
            <w:pPr>
              <w:spacing w:after="0"/>
              <w:rPr>
                <w:sz w:val="18"/>
                <w:szCs w:val="18"/>
                <w:color w:val="auto"/>
              </w:rPr>
            </w:pPr>
          </w:p>
        </w:tc>
      </w:tr>
      <w:tr>
        <w:trPr>
          <w:trHeight w:val="216"/>
        </w:trPr>
        <w:tc>
          <w:tcPr>
            <w:tcW w:w="21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2,775</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w:t>
            </w:r>
          </w:p>
        </w:tc>
        <w:tc>
          <w:tcPr>
            <w:tcW w:w="40" w:type="dxa"/>
            <w:vAlign w:val="bottom"/>
          </w:tcPr>
          <w:p>
            <w:pPr>
              <w:spacing w:after="0"/>
              <w:rPr>
                <w:sz w:val="18"/>
                <w:szCs w:val="18"/>
                <w:color w:val="auto"/>
              </w:rPr>
            </w:pPr>
          </w:p>
        </w:tc>
      </w:tr>
      <w:tr>
        <w:trPr>
          <w:trHeight w:val="216"/>
        </w:trPr>
        <w:tc>
          <w:tcPr>
            <w:tcW w:w="7800" w:type="dxa"/>
            <w:vAlign w:val="bottom"/>
            <w:gridSpan w:val="14"/>
          </w:tcPr>
          <w:p>
            <w:pPr>
              <w:ind w:left="180"/>
              <w:spacing w:after="0"/>
              <w:rPr>
                <w:sz w:val="20"/>
                <w:szCs w:val="20"/>
                <w:color w:val="auto"/>
              </w:rPr>
            </w:pPr>
            <w:r>
              <w:rPr>
                <w:rFonts w:ascii="Arial" w:cs="Arial" w:eastAsia="Arial" w:hAnsi="Arial"/>
                <w:sz w:val="18"/>
                <w:szCs w:val="18"/>
                <w:color w:val="auto"/>
              </w:rPr>
              <w:t>Junior subordinated debentures issued to affiliated trusts</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8,530</w:t>
            </w: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8,440</w:t>
            </w:r>
          </w:p>
        </w:tc>
        <w:tc>
          <w:tcPr>
            <w:tcW w:w="40" w:type="dxa"/>
            <w:vAlign w:val="bottom"/>
          </w:tcPr>
          <w:p>
            <w:pPr>
              <w:spacing w:after="0"/>
              <w:rPr>
                <w:sz w:val="18"/>
                <w:szCs w:val="18"/>
                <w:color w:val="auto"/>
              </w:rPr>
            </w:pPr>
          </w:p>
        </w:tc>
      </w:tr>
      <w:tr>
        <w:trPr>
          <w:trHeight w:val="216"/>
        </w:trPr>
        <w:tc>
          <w:tcPr>
            <w:tcW w:w="21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Capital lease obligation</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1,464</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w:t>
            </w:r>
          </w:p>
        </w:tc>
        <w:tc>
          <w:tcPr>
            <w:tcW w:w="40" w:type="dxa"/>
            <w:vAlign w:val="bottom"/>
          </w:tcPr>
          <w:p>
            <w:pPr>
              <w:spacing w:after="0"/>
              <w:rPr>
                <w:sz w:val="18"/>
                <w:szCs w:val="18"/>
                <w:color w:val="auto"/>
              </w:rPr>
            </w:pPr>
          </w:p>
        </w:tc>
      </w:tr>
      <w:tr>
        <w:trPr>
          <w:trHeight w:val="216"/>
        </w:trPr>
        <w:tc>
          <w:tcPr>
            <w:tcW w:w="2180" w:type="dxa"/>
            <w:vAlign w:val="bottom"/>
            <w:gridSpan w:val="5"/>
          </w:tcPr>
          <w:p>
            <w:pPr>
              <w:ind w:left="180"/>
              <w:spacing w:after="0"/>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9,262</w:t>
            </w: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9,531</w:t>
            </w:r>
          </w:p>
        </w:tc>
        <w:tc>
          <w:tcPr>
            <w:tcW w:w="40" w:type="dxa"/>
            <w:vAlign w:val="bottom"/>
          </w:tcPr>
          <w:p>
            <w:pPr>
              <w:spacing w:after="0"/>
              <w:rPr>
                <w:sz w:val="18"/>
                <w:szCs w:val="18"/>
                <w:color w:val="auto"/>
              </w:rPr>
            </w:pPr>
          </w:p>
        </w:tc>
      </w:tr>
      <w:tr>
        <w:trPr>
          <w:trHeight w:val="210"/>
        </w:trPr>
        <w:tc>
          <w:tcPr>
            <w:tcW w:w="2180" w:type="dxa"/>
            <w:vAlign w:val="bottom"/>
            <w:tcBorders>
              <w:top w:val="single" w:sz="8" w:color="CCEEFF"/>
            </w:tcBorders>
            <w:gridSpan w:val="5"/>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699,112</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7620" w:type="dxa"/>
            <w:vAlign w:val="bottom"/>
            <w:gridSpan w:val="13"/>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7800" w:type="dxa"/>
            <w:vAlign w:val="bottom"/>
            <w:gridSpan w:val="14"/>
          </w:tcPr>
          <w:p>
            <w:pPr>
              <w:ind w:left="180"/>
              <w:spacing w:after="0" w:line="201" w:lineRule="exact"/>
              <w:rPr>
                <w:sz w:val="20"/>
                <w:szCs w:val="20"/>
                <w:color w:val="auto"/>
              </w:rPr>
            </w:pPr>
            <w:r>
              <w:rPr>
                <w:rFonts w:ascii="Arial" w:cs="Arial" w:eastAsia="Arial" w:hAnsi="Arial"/>
                <w:sz w:val="18"/>
                <w:szCs w:val="18"/>
                <w:color w:val="auto"/>
                <w:w w:val="95"/>
              </w:rPr>
              <w:t>Preferred stock, $1.00 par value, 1,000,000 shares authorized; no shares issued and outstanding at</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7800" w:type="dxa"/>
            <w:vAlign w:val="bottom"/>
            <w:gridSpan w:val="14"/>
          </w:tcPr>
          <w:p>
            <w:pPr>
              <w:ind w:left="360"/>
              <w:spacing w:after="0"/>
              <w:rPr>
                <w:sz w:val="20"/>
                <w:szCs w:val="20"/>
                <w:color w:val="auto"/>
              </w:rPr>
            </w:pPr>
            <w:r>
              <w:rPr>
                <w:rFonts w:ascii="Arial" w:cs="Arial" w:eastAsia="Arial" w:hAnsi="Arial"/>
                <w:sz w:val="18"/>
                <w:szCs w:val="18"/>
                <w:color w:val="auto"/>
              </w:rPr>
              <w:t>December 31, 2014 and June 30, 2014</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gridSpan w:val="14"/>
            <w:shd w:val="clear" w:color="auto" w:fill="CCEEFF"/>
          </w:tcPr>
          <w:p>
            <w:pPr>
              <w:ind w:left="180"/>
              <w:spacing w:after="0"/>
              <w:rPr>
                <w:sz w:val="20"/>
                <w:szCs w:val="20"/>
                <w:color w:val="auto"/>
              </w:rPr>
            </w:pPr>
            <w:r>
              <w:rPr>
                <w:rFonts w:ascii="Arial" w:cs="Arial" w:eastAsia="Arial" w:hAnsi="Arial"/>
                <w:sz w:val="18"/>
                <w:szCs w:val="18"/>
                <w:color w:val="auto"/>
                <w:w w:val="99"/>
              </w:rPr>
              <w:t>Voting common stock, $1.00 par value, 25,000,000 shares authorized; 8,965,424 and 9,260,331</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8,965</w:t>
            </w: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9,260</w:t>
            </w:r>
          </w:p>
        </w:tc>
        <w:tc>
          <w:tcPr>
            <w:tcW w:w="40" w:type="dxa"/>
            <w:vAlign w:val="bottom"/>
          </w:tcPr>
          <w:p>
            <w:pPr>
              <w:spacing w:after="0"/>
              <w:rPr>
                <w:sz w:val="20"/>
                <w:szCs w:val="20"/>
                <w:color w:val="auto"/>
              </w:rPr>
            </w:pPr>
          </w:p>
        </w:tc>
      </w:tr>
      <w:tr>
        <w:trPr>
          <w:trHeight w:val="29"/>
        </w:trPr>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-6880860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-6880860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7" w:right="199" w:bottom="0" w:gutter="0" w:footer="0" w:header="0"/>
        </w:sectPr>
      </w:pPr>
    </w:p>
    <w:bookmarkStart w:id="2" w:name="page3"/>
    <w:bookmarkEnd w:id="2"/>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at December 31, 2014 and June 30, 2014, respectively</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w w:val="91"/>
              </w:rPr>
              <w:t>Non-voting common stock, $1.00 par value, 3,000,000 shares authorized; 880,963 shares issued and</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outstanding at December 31, 2014 and June 30, 2014</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881</w:t>
            </w:r>
          </w:p>
        </w:tc>
        <w:tc>
          <w:tcPr>
            <w:tcW w:w="6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87,404</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90,914</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15,314</w:t>
            </w: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12,294</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(1,641)</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r>
      <w:tr>
        <w:trPr>
          <w:trHeight w:val="210"/>
        </w:trPr>
        <w:tc>
          <w:tcPr>
            <w:tcW w:w="7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110,923</w:t>
            </w:r>
          </w:p>
        </w:tc>
        <w:tc>
          <w:tcPr>
            <w:tcW w:w="3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112,066</w:t>
            </w:r>
          </w:p>
        </w:tc>
        <w:tc>
          <w:tcPr>
            <w:tcW w:w="100" w:type="dxa"/>
            <w:vAlign w:val="bottom"/>
            <w:tcBorders>
              <w:bottom w:val="single" w:sz="8" w:color="CCEEFF"/>
            </w:tcBorders>
          </w:tcPr>
          <w:p>
            <w:pPr>
              <w:spacing w:after="0"/>
              <w:rPr>
                <w:sz w:val="18"/>
                <w:szCs w:val="18"/>
                <w:color w:val="auto"/>
              </w:rPr>
            </w:pPr>
          </w:p>
        </w:tc>
      </w:tr>
      <w:tr>
        <w:trPr>
          <w:trHeight w:val="210"/>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810,035</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Three Months Ended December 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and dividend income:</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Interest on loans</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10,948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10,282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21,870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18,739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available-for-sale securities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Other interest and dividend income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and dividend income</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Wholesale repurchase agreements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debentures issued to affiliated trusts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Obligation under capital lease agreements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line="182" w:lineRule="exact"/>
              <w:rPr>
                <w:sz w:val="20"/>
                <w:szCs w:val="20"/>
                <w:color w:val="auto"/>
              </w:rPr>
            </w:pPr>
            <w:r>
              <w:rPr>
                <w:rFonts w:ascii="Arial" w:cs="Arial" w:eastAsia="Arial" w:hAnsi="Arial"/>
                <w:sz w:val="18"/>
                <w:szCs w:val="18"/>
                <w:color w:val="auto"/>
              </w:rPr>
              <w:t>Net interest and dividend income before provision for loan</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9,426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18,900</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Net interest and dividend income after provision for loan losses</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Fees for other services to customers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392</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786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sales of loans held for sale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Gain on sales of portfolio loans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(Loss) gain recognized on real estate owned and other</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repossessed collateral, net</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Bank-owned life insurance income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Noninterest expense:</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9,270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 and equipment expense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458</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Data processing fees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Marketing expense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acquisition and collection expense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FDIC insurance premiums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Legal settlement recovery</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expense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expense</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from continuing operations before income tax expense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893</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line="182" w:lineRule="exact"/>
              <w:rPr>
                <w:sz w:val="20"/>
                <w:szCs w:val="20"/>
                <w:color w:val="auto"/>
              </w:rPr>
            </w:pPr>
            <w:r>
              <w:rPr>
                <w:rFonts w:ascii="Arial" w:cs="Arial" w:eastAsia="Arial" w:hAnsi="Arial"/>
                <w:sz w:val="18"/>
                <w:szCs w:val="18"/>
                <w:color w:val="auto"/>
                <w:w w:val="95"/>
              </w:rPr>
              <w:t>(Loss) income from discontinued operations before tax (benefit)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(loss) income from discontinued operations</w:t>
            </w: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10,132,349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10,432,833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10,155,598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10,436,673</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10,132,349</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10,432,833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10,155,598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10,436,673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from continuing operations</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4820" w:type="dxa"/>
            <w:vAlign w:val="bottom"/>
          </w:tcPr>
          <w:p>
            <w:pPr>
              <w:ind w:left="54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25" w:orient="portrait"/>
          <w:cols w:equalWidth="0" w:num="1">
            <w:col w:w="11420"/>
          </w:cols>
          <w:pgMar w:left="240" w:top="140"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9"/>
              </w:rPr>
              <w:t>0.16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0.16</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7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4120" w:type="dxa"/>
            <w:vAlign w:val="bottom"/>
          </w:tcPr>
          <w:p>
            <w:pPr>
              <w:ind w:left="540"/>
              <w:spacing w:after="0"/>
              <w:rPr>
                <w:sz w:val="20"/>
                <w:szCs w:val="20"/>
                <w:color w:val="auto"/>
              </w:rPr>
            </w:pPr>
            <w:r>
              <w:rPr>
                <w:rFonts w:ascii="Arial" w:cs="Arial" w:eastAsia="Arial" w:hAnsi="Arial"/>
                <w:sz w:val="18"/>
                <w:szCs w:val="18"/>
                <w:color w:val="auto"/>
              </w:rPr>
              <w:t>Income from discontinued operations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9"/>
              </w:rPr>
              <w:t>0.16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88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00"/>
              <w:spacing w:after="0"/>
              <w:rPr>
                <w:sz w:val="20"/>
                <w:szCs w:val="20"/>
                <w:color w:val="auto"/>
              </w:rPr>
            </w:pPr>
            <w:r>
              <w:rPr>
                <w:rFonts w:ascii="Arial" w:cs="Arial" w:eastAsia="Arial" w:hAnsi="Arial"/>
                <w:sz w:val="18"/>
                <w:szCs w:val="18"/>
                <w:color w:val="auto"/>
                <w:w w:val="79"/>
              </w:rPr>
              <w:t>0.01</w:t>
            </w:r>
          </w:p>
        </w:tc>
        <w:tc>
          <w:tcPr>
            <w:tcW w:w="300" w:type="dxa"/>
            <w:vAlign w:val="bottom"/>
            <w:vMerge w:val="continue"/>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vMerge w:val="continue"/>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December 31,</w:t>
            </w:r>
          </w:p>
        </w:tc>
      </w:tr>
      <w:tr>
        <w:trPr>
          <w:trHeight w:val="142"/>
        </w:trPr>
        <w:tc>
          <w:tcPr>
            <w:tcW w:w="4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Other comprehensive income (loss), before tax:</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780" w:type="dxa"/>
            <w:vAlign w:val="bottom"/>
          </w:tcPr>
          <w:p>
            <w:pPr>
              <w:ind w:left="360"/>
              <w:spacing w:after="0" w:line="201" w:lineRule="exact"/>
              <w:rPr>
                <w:sz w:val="20"/>
                <w:szCs w:val="20"/>
                <w:color w:val="auto"/>
              </w:rPr>
            </w:pPr>
            <w:r>
              <w:rPr>
                <w:rFonts w:ascii="Arial" w:cs="Arial" w:eastAsia="Arial" w:hAnsi="Arial"/>
                <w:sz w:val="18"/>
                <w:szCs w:val="18"/>
                <w:color w:val="auto"/>
                <w:w w:val="94"/>
              </w:rPr>
              <w:t>Change in net unrealized gain or loss on available-for-sale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80" w:type="dxa"/>
            <w:vAlign w:val="bottom"/>
          </w:tcPr>
          <w:p>
            <w:pPr>
              <w:ind w:left="54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538</w:t>
            </w:r>
          </w:p>
        </w:tc>
        <w:tc>
          <w:tcPr>
            <w:tcW w:w="9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263</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02"/>
        </w:trPr>
        <w:tc>
          <w:tcPr>
            <w:tcW w:w="4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Reclassification adjustment for net gains included in net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80" w:type="dxa"/>
            <w:vAlign w:val="bottom"/>
          </w:tcPr>
          <w:p>
            <w:pPr>
              <w:ind w:left="18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and hedging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Change in accumulated loss on effective cash flow hedges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r>
      <w:tr>
        <w:trPr>
          <w:trHeight w:val="202"/>
        </w:trPr>
        <w:tc>
          <w:tcPr>
            <w:tcW w:w="4780" w:type="dxa"/>
            <w:vAlign w:val="bottom"/>
          </w:tcPr>
          <w:p>
            <w:pPr>
              <w:ind w:left="360"/>
              <w:spacing w:after="0" w:line="201" w:lineRule="exact"/>
              <w:rPr>
                <w:sz w:val="20"/>
                <w:szCs w:val="20"/>
                <w:color w:val="auto"/>
              </w:rPr>
            </w:pPr>
            <w:r>
              <w:rPr>
                <w:rFonts w:ascii="Arial" w:cs="Arial" w:eastAsia="Arial" w:hAnsi="Arial"/>
                <w:sz w:val="18"/>
                <w:szCs w:val="18"/>
                <w:color w:val="auto"/>
                <w:w w:val="97"/>
              </w:rPr>
              <w:t>Reclassification adjustments for net gains included in net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80" w:type="dxa"/>
            <w:vAlign w:val="bottom"/>
          </w:tcPr>
          <w:p>
            <w:pPr>
              <w:ind w:left="540"/>
              <w:spacing w:after="0"/>
              <w:rPr>
                <w:sz w:val="20"/>
                <w:szCs w:val="20"/>
                <w:color w:val="auto"/>
              </w:rPr>
            </w:pPr>
            <w:r>
              <w:rPr>
                <w:rFonts w:ascii="Arial" w:cs="Arial" w:eastAsia="Arial" w:hAnsi="Arial"/>
                <w:sz w:val="18"/>
                <w:szCs w:val="18"/>
                <w:color w:val="auto"/>
              </w:rPr>
              <w:t>income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9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Total derivatives and hedging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(524)</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Total other comprehensive income (loss), before tax</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780" w:type="dxa"/>
            <w:vAlign w:val="bottom"/>
          </w:tcPr>
          <w:p>
            <w:pPr>
              <w:ind w:left="180"/>
              <w:spacing w:after="0" w:line="201" w:lineRule="exact"/>
              <w:rPr>
                <w:sz w:val="20"/>
                <w:szCs w:val="20"/>
                <w:color w:val="auto"/>
              </w:rPr>
            </w:pPr>
            <w:r>
              <w:rPr>
                <w:rFonts w:ascii="Arial" w:cs="Arial" w:eastAsia="Arial" w:hAnsi="Arial"/>
                <w:sz w:val="18"/>
                <w:szCs w:val="18"/>
                <w:color w:val="auto"/>
                <w:w w:val="94"/>
              </w:rPr>
              <w:t>Income tax expense (benefit) related to other comprehensive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80" w:type="dxa"/>
            <w:vAlign w:val="bottom"/>
          </w:tcPr>
          <w:p>
            <w:pPr>
              <w:ind w:left="360"/>
              <w:spacing w:after="0"/>
              <w:rPr>
                <w:sz w:val="20"/>
                <w:szCs w:val="20"/>
                <w:color w:val="auto"/>
              </w:rPr>
            </w:pPr>
            <w:r>
              <w:rPr>
                <w:rFonts w:ascii="Arial" w:cs="Arial" w:eastAsia="Arial" w:hAnsi="Arial"/>
                <w:sz w:val="18"/>
                <w:szCs w:val="18"/>
                <w:color w:val="auto"/>
              </w:rPr>
              <w:t>(loss) income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r>
      <w:tr>
        <w:trPr>
          <w:trHeight w:val="210"/>
        </w:trPr>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1,590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STOCKHOLDERS’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vMerge w:val="restart"/>
          </w:tcPr>
          <w:p>
            <w:pPr>
              <w:jc w:val="right"/>
              <w:ind w:right="86"/>
              <w:spacing w:after="0"/>
              <w:rPr>
                <w:sz w:val="20"/>
                <w:szCs w:val="20"/>
                <w:color w:val="auto"/>
              </w:rPr>
            </w:pPr>
            <w:r>
              <w:rPr>
                <w:rFonts w:ascii="Arial" w:cs="Arial" w:eastAsia="Arial" w:hAnsi="Arial"/>
                <w:sz w:val="14"/>
                <w:szCs w:val="14"/>
                <w:b w:val="1"/>
                <w:bCs w:val="1"/>
                <w:color w:val="auto"/>
              </w:rPr>
              <w:t>Non-</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3"/>
              </w:rPr>
              <w:t>Preferred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4"/>
              </w:rPr>
              <w:t>Voting Common Stock</w:t>
            </w:r>
          </w:p>
        </w:tc>
        <w:tc>
          <w:tcPr>
            <w:tcW w:w="102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8"/>
              </w:rPr>
              <w:t>Retained</w:t>
            </w: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150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w w:val="96"/>
              </w:rPr>
              <w:t>voting 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23"/>
        </w:trPr>
        <w:tc>
          <w:tcPr>
            <w:tcW w:w="3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Paid-</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000" w:type="dxa"/>
            <w:vAlign w:val="bottom"/>
          </w:tcPr>
          <w:p>
            <w:pPr>
              <w:spacing w:after="0"/>
              <w:rPr>
                <w:sz w:val="9"/>
                <w:szCs w:val="9"/>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9"/>
                <w:szCs w:val="9"/>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Earnings</w:t>
            </w:r>
          </w:p>
        </w:tc>
        <w:tc>
          <w:tcPr>
            <w:tcW w:w="200" w:type="dxa"/>
            <w:vAlign w:val="bottom"/>
          </w:tcPr>
          <w:p>
            <w:pPr>
              <w:spacing w:after="0"/>
              <w:rPr>
                <w:sz w:val="9"/>
                <w:szCs w:val="9"/>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9"/>
                <w:szCs w:val="9"/>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 Capital</w:t>
            </w: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9,565,680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880,963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92,745</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$ 12,524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Other comprehensive income, net of</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2"/>
        </w:trPr>
        <w:tc>
          <w:tcPr>
            <w:tcW w:w="3000" w:type="dxa"/>
            <w:vAlign w:val="bottom"/>
          </w:tcPr>
          <w:p>
            <w:pPr>
              <w:ind w:left="180"/>
              <w:spacing w:after="0" w:line="201" w:lineRule="exact"/>
              <w:rPr>
                <w:sz w:val="20"/>
                <w:szCs w:val="20"/>
                <w:color w:val="auto"/>
              </w:rPr>
            </w:pPr>
            <w:r>
              <w:rPr>
                <w:rFonts w:ascii="Arial" w:cs="Arial" w:eastAsia="Arial" w:hAnsi="Arial"/>
                <w:sz w:val="18"/>
                <w:szCs w:val="18"/>
                <w:color w:val="auto"/>
                <w:w w:val="94"/>
              </w:rPr>
              <w:t>Dividends on common stock at $0.18</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per share</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(1,879)</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2"/>
        </w:trPr>
        <w:tc>
          <w:tcPr>
            <w:tcW w:w="3000" w:type="dxa"/>
            <w:vAlign w:val="bottom"/>
          </w:tcPr>
          <w:p>
            <w:pPr>
              <w:ind w:left="180"/>
              <w:spacing w:after="0" w:line="201" w:lineRule="exact"/>
              <w:rPr>
                <w:sz w:val="20"/>
                <w:szCs w:val="20"/>
                <w:color w:val="auto"/>
              </w:rPr>
            </w:pPr>
            <w:r>
              <w:rPr>
                <w:rFonts w:ascii="Arial" w:cs="Arial" w:eastAsia="Arial" w:hAnsi="Arial"/>
                <w:sz w:val="18"/>
                <w:szCs w:val="18"/>
                <w:color w:val="auto"/>
              </w:rPr>
              <w:t>Forfeiture of restricted common</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stock</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(14,149)</w:t>
            </w:r>
          </w:p>
        </w:tc>
        <w:tc>
          <w:tcPr>
            <w:tcW w:w="1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9,551,531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880,963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Balance at June 30, 2014</w:t>
            </w:r>
          </w:p>
        </w:tc>
        <w:tc>
          <w:tcPr>
            <w:tcW w:w="6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vMerge w:val="continue"/>
          </w:tcPr>
          <w:p>
            <w:pPr>
              <w:spacing w:after="0"/>
              <w:rPr>
                <w:sz w:val="17"/>
                <w:szCs w:val="17"/>
                <w:color w:val="auto"/>
              </w:rPr>
            </w:pPr>
          </w:p>
        </w:tc>
        <w:tc>
          <w:tcPr>
            <w:tcW w:w="660" w:type="dxa"/>
            <w:vAlign w:val="bottom"/>
          </w:tcPr>
          <w:p>
            <w:pPr>
              <w:ind w:left="480"/>
              <w:spacing w:after="0" w:line="196" w:lineRule="exact"/>
              <w:rPr>
                <w:sz w:val="20"/>
                <w:szCs w:val="20"/>
                <w:color w:val="auto"/>
              </w:rPr>
            </w:pPr>
            <w:r>
              <w:rPr>
                <w:rFonts w:ascii="Arial" w:cs="Arial" w:eastAsia="Arial" w:hAnsi="Arial"/>
                <w:sz w:val="18"/>
                <w:szCs w:val="18"/>
                <w:color w:val="auto"/>
                <w:w w:val="88"/>
              </w:rPr>
              <w:t>—</w:t>
            </w:r>
          </w:p>
        </w:tc>
        <w:tc>
          <w:tcPr>
            <w:tcW w:w="120" w:type="dxa"/>
            <w:vAlign w:val="bottom"/>
            <w:vMerge w:val="continue"/>
          </w:tcPr>
          <w:p>
            <w:pPr>
              <w:spacing w:after="0"/>
              <w:rPr>
                <w:sz w:val="17"/>
                <w:szCs w:val="17"/>
                <w:color w:val="auto"/>
              </w:rPr>
            </w:pP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200" w:type="dxa"/>
            <w:vAlign w:val="bottom"/>
          </w:tcPr>
          <w:p>
            <w:pPr>
              <w:ind w:left="2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w w:val="89"/>
              </w:rPr>
              <w:t>9,260,331</w:t>
            </w:r>
          </w:p>
        </w:tc>
        <w:tc>
          <w:tcPr>
            <w:tcW w:w="10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9,260</w:t>
            </w:r>
          </w:p>
        </w:tc>
        <w:tc>
          <w:tcPr>
            <w:tcW w:w="120" w:type="dxa"/>
            <w:vAlign w:val="bottom"/>
            <w:vMerge w:val="continue"/>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880,963</w:t>
            </w:r>
          </w:p>
        </w:tc>
        <w:tc>
          <w:tcPr>
            <w:tcW w:w="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881</w:t>
            </w:r>
          </w:p>
        </w:tc>
        <w:tc>
          <w:tcPr>
            <w:tcW w:w="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90,914</w:t>
            </w:r>
          </w:p>
        </w:tc>
        <w:tc>
          <w:tcPr>
            <w:tcW w:w="120" w:type="dxa"/>
            <w:vAlign w:val="bottom"/>
            <w:vMerge w:val="continue"/>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1"/>
              </w:rPr>
              <w:t>$ 12,294</w:t>
            </w:r>
          </w:p>
        </w:tc>
        <w:tc>
          <w:tcPr>
            <w:tcW w:w="100" w:type="dxa"/>
            <w:vAlign w:val="bottom"/>
            <w:vMerge w:val="continue"/>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(1,283)</w:t>
            </w:r>
          </w:p>
        </w:tc>
        <w:tc>
          <w:tcPr>
            <w:tcW w:w="120" w:type="dxa"/>
            <w:vAlign w:val="bottom"/>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112,066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02"/>
        </w:trPr>
        <w:tc>
          <w:tcPr>
            <w:tcW w:w="3000" w:type="dxa"/>
            <w:vAlign w:val="bottom"/>
          </w:tcPr>
          <w:p>
            <w:pPr>
              <w:ind w:left="180"/>
              <w:spacing w:after="0" w:line="201" w:lineRule="exact"/>
              <w:rPr>
                <w:sz w:val="20"/>
                <w:szCs w:val="20"/>
                <w:color w:val="auto"/>
              </w:rPr>
            </w:pPr>
            <w:r>
              <w:rPr>
                <w:rFonts w:ascii="Arial" w:cs="Arial" w:eastAsia="Arial" w:hAnsi="Arial"/>
                <w:sz w:val="18"/>
                <w:szCs w:val="18"/>
                <w:color w:val="auto"/>
                <w:w w:val="96"/>
              </w:rPr>
              <w:t>Other comprehensive income, net of</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tax</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Common stock repurchased</w:t>
            </w: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(448,686)</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(3,653)</w:t>
            </w:r>
          </w:p>
        </w:tc>
        <w:tc>
          <w:tcPr>
            <w:tcW w:w="11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Dividends on common stock at $0.02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per share</w:t>
            </w: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1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160"/>
              <w:spacing w:after="0"/>
              <w:rPr>
                <w:sz w:val="20"/>
                <w:szCs w:val="20"/>
                <w:color w:val="auto"/>
              </w:rPr>
            </w:pPr>
            <w:r>
              <w:rPr>
                <w:rFonts w:ascii="Arial" w:cs="Arial" w:eastAsia="Arial" w:hAnsi="Arial"/>
                <w:sz w:val="18"/>
                <w:szCs w:val="18"/>
                <w:color w:val="auto"/>
              </w:rPr>
              <w:t>Issuance of restricted common stock</w:t>
            </w: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168,000</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(168)</w:t>
            </w:r>
          </w:p>
        </w:tc>
        <w:tc>
          <w:tcPr>
            <w:tcW w:w="116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Forfeiture of restricted common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w:t>
            </w:r>
          </w:p>
        </w:tc>
        <w:tc>
          <w:tcPr>
            <w:tcW w:w="4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(14,221)</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1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0" w:type="dxa"/>
            <w:vAlign w:val="bottom"/>
            <w:gridSpan w:val="3"/>
          </w:tcPr>
          <w:p>
            <w:pPr>
              <w:spacing w:after="0"/>
              <w:rPr>
                <w:sz w:val="20"/>
                <w:szCs w:val="20"/>
                <w:color w:val="auto"/>
              </w:rPr>
            </w:pPr>
            <w:r>
              <w:rPr>
                <w:rFonts w:ascii="Arial" w:cs="Arial" w:eastAsia="Arial" w:hAnsi="Arial"/>
                <w:sz w:val="18"/>
                <w:szCs w:val="18"/>
                <w:color w:val="auto"/>
              </w:rPr>
              <w:t>Balance at December 31, 2014</w:t>
            </w:r>
          </w:p>
        </w:tc>
        <w:tc>
          <w:tcPr>
            <w:tcW w:w="4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8,965,424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880,963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87,404</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$ 15,314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gridSpan w:val="17"/>
          </w:tcPr>
          <w:p>
            <w:pPr>
              <w:spacing w:after="0"/>
              <w:rPr>
                <w:sz w:val="20"/>
                <w:szCs w:val="20"/>
                <w:color w:val="auto"/>
              </w:rPr>
            </w:pPr>
            <w:r>
              <w:rPr>
                <w:rFonts w:ascii="Arial" w:cs="Arial" w:eastAsia="Arial" w:hAnsi="Arial"/>
                <w:sz w:val="18"/>
                <w:szCs w:val="18"/>
                <w:i w:val="1"/>
                <w:iCs w:val="1"/>
                <w:color w:val="auto"/>
                <w:w w:val="91"/>
              </w:rPr>
              <w:t>The accompanying notes are an integral part of these unaudited consolidated financial statements.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180" w:type="dxa"/>
            <w:vAlign w:val="bottom"/>
            <w:tcBorders>
              <w:bottom w:val="single" w:sz="8" w:color="010101"/>
            </w:tcBorders>
            <w:gridSpan w:val="2"/>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240" w:type="dxa"/>
            <w:vAlign w:val="bottom"/>
            <w:gridSpan w:val="7"/>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40" w:type="dxa"/>
            <w:vAlign w:val="bottom"/>
            <w:gridSpan w:val="7"/>
          </w:tcPr>
          <w:p>
            <w:pPr>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4"/>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w w:val="98"/>
              </w:rPr>
              <w:t>Six Months Ended 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5"/>
          </w:tcPr>
          <w:p>
            <w:pPr>
              <w:ind w:left="68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3,224</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15"/>
            <w:shd w:val="clear" w:color="auto" w:fill="CCEEFF"/>
          </w:tcPr>
          <w:p>
            <w:pPr>
              <w:ind w:left="160"/>
              <w:spacing w:after="0"/>
              <w:rPr>
                <w:sz w:val="20"/>
                <w:szCs w:val="20"/>
                <w:color w:val="auto"/>
              </w:rPr>
            </w:pPr>
            <w:r>
              <w:rPr>
                <w:rFonts w:ascii="Arial" w:cs="Arial" w:eastAsia="Arial" w:hAnsi="Arial"/>
                <w:sz w:val="18"/>
                <w:szCs w:val="18"/>
                <w:color w:val="auto"/>
                <w:w w:val="91"/>
              </w:rPr>
              <w:t>Adjustments to reconcile net income to net cash provided by (used in) by operating activities: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15"/>
            <w:shd w:val="clear" w:color="auto" w:fill="CCEEFF"/>
          </w:tcPr>
          <w:p>
            <w:pPr>
              <w:ind w:left="340"/>
              <w:spacing w:after="0"/>
              <w:rPr>
                <w:sz w:val="20"/>
                <w:szCs w:val="20"/>
                <w:color w:val="auto"/>
              </w:rPr>
            </w:pPr>
            <w:r>
              <w:rPr>
                <w:rFonts w:ascii="Arial" w:cs="Arial" w:eastAsia="Arial" w:hAnsi="Arial"/>
                <w:sz w:val="18"/>
                <w:szCs w:val="18"/>
                <w:color w:val="auto"/>
                <w:w w:val="94"/>
              </w:rPr>
              <w:t>Loss on sale and impairment of real estate owned and other repossessed collateral, net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6"/>
          </w:tcPr>
          <w:p>
            <w:pPr>
              <w:ind w:left="340"/>
              <w:spacing w:after="0"/>
              <w:rPr>
                <w:sz w:val="20"/>
                <w:szCs w:val="20"/>
                <w:color w:val="auto"/>
              </w:rPr>
            </w:pPr>
            <w:r>
              <w:rPr>
                <w:rFonts w:ascii="Arial" w:cs="Arial" w:eastAsia="Arial" w:hAnsi="Arial"/>
                <w:sz w:val="18"/>
                <w:szCs w:val="18"/>
                <w:color w:val="auto"/>
              </w:rPr>
              <w:t>Accretion of fair value adjustments on loans,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(6,117)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w w:val="94"/>
              </w:rPr>
              <w:t>Accretion of fair value adjustments on deposits,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8"/>
          </w:tcPr>
          <w:p>
            <w:pPr>
              <w:ind w:left="340"/>
              <w:spacing w:after="0"/>
              <w:rPr>
                <w:sz w:val="20"/>
                <w:szCs w:val="20"/>
                <w:color w:val="auto"/>
              </w:rPr>
            </w:pPr>
            <w:r>
              <w:rPr>
                <w:rFonts w:ascii="Arial" w:cs="Arial" w:eastAsia="Arial" w:hAnsi="Arial"/>
                <w:sz w:val="18"/>
                <w:szCs w:val="18"/>
                <w:color w:val="auto"/>
                <w:w w:val="97"/>
              </w:rPr>
              <w:t>Accretion of fair value adjustments on borrowings, net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Originations of loans held for sale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(49,444)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6"/>
          </w:tcPr>
          <w:p>
            <w:pPr>
              <w:ind w:left="340"/>
              <w:spacing w:after="0"/>
              <w:rPr>
                <w:sz w:val="20"/>
                <w:szCs w:val="20"/>
                <w:color w:val="auto"/>
              </w:rPr>
            </w:pPr>
            <w:r>
              <w:rPr>
                <w:rFonts w:ascii="Arial" w:cs="Arial" w:eastAsia="Arial" w:hAnsi="Arial"/>
                <w:sz w:val="18"/>
                <w:szCs w:val="18"/>
                <w:color w:val="auto"/>
              </w:rPr>
              <w:t>Net proceeds from sales of loans held for sale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57,264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Gain on sales of loans held for sale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Gain on sales of portfolio loans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w w:val="99"/>
              </w:rPr>
              <w:t>Bank-owned life insurance income,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5"/>
              </w:rPr>
              <w:t>Depreciation of premises and equipment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847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6"/>
          </w:tcPr>
          <w:p>
            <w:pPr>
              <w:ind w:left="340"/>
              <w:spacing w:after="0"/>
              <w:rPr>
                <w:sz w:val="20"/>
                <w:szCs w:val="20"/>
                <w:color w:val="auto"/>
              </w:rPr>
            </w:pPr>
            <w:r>
              <w:rPr>
                <w:rFonts w:ascii="Arial" w:cs="Arial" w:eastAsia="Arial" w:hAnsi="Arial"/>
                <w:sz w:val="18"/>
                <w:szCs w:val="18"/>
                <w:color w:val="auto"/>
              </w:rPr>
              <w:t>Loss (gain) on sale of premises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Net gain on sale of available-for-sale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Amortization of securities,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(1,693)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5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gridSpan w:val="6"/>
            <w:shd w:val="clear" w:color="auto" w:fill="CCEEFF"/>
          </w:tcPr>
          <w:p>
            <w:pPr>
              <w:ind w:left="160"/>
              <w:spacing w:after="0"/>
              <w:rPr>
                <w:sz w:val="20"/>
                <w:szCs w:val="20"/>
                <w:color w:val="auto"/>
              </w:rPr>
            </w:pPr>
            <w:r>
              <w:rPr>
                <w:rFonts w:ascii="Arial" w:cs="Arial" w:eastAsia="Arial" w:hAnsi="Arial"/>
                <w:sz w:val="18"/>
                <w:szCs w:val="18"/>
                <w:color w:val="auto"/>
              </w:rPr>
              <w:t>Net cash provided (used in) by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3"/>
          </w:tcPr>
          <w:p>
            <w:pPr>
              <w:spacing w:after="0" w:line="196" w:lineRule="exact"/>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9"/>
              </w:rPr>
              <w:t>Proceeds from sales of available-for-sale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160"/>
              <w:spacing w:after="0"/>
              <w:rPr>
                <w:sz w:val="20"/>
                <w:szCs w:val="20"/>
                <w:color w:val="auto"/>
              </w:rPr>
            </w:pPr>
            <w:r>
              <w:rPr>
                <w:rFonts w:ascii="Arial" w:cs="Arial" w:eastAsia="Arial" w:hAnsi="Arial"/>
                <w:sz w:val="18"/>
                <w:szCs w:val="18"/>
                <w:color w:val="auto"/>
                <w:w w:val="99"/>
              </w:rPr>
              <w:t>Purchases of available-for-sale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w w:val="93"/>
              </w:rPr>
              <w:t>Proceeds from maturities and principal payments on available-for-sale securities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5,786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160"/>
              <w:spacing w:after="0"/>
              <w:rPr>
                <w:sz w:val="20"/>
                <w:szCs w:val="20"/>
                <w:color w:val="auto"/>
              </w:rPr>
            </w:pPr>
            <w:r>
              <w:rPr>
                <w:rFonts w:ascii="Arial" w:cs="Arial" w:eastAsia="Arial" w:hAnsi="Arial"/>
                <w:sz w:val="18"/>
                <w:szCs w:val="18"/>
                <w:color w:val="auto"/>
              </w:rPr>
              <w:t>Loan purchases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(39,667)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Proceeds from sales of portfolio loans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3,665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6"/>
          </w:tcPr>
          <w:p>
            <w:pPr>
              <w:ind w:left="160"/>
              <w:spacing w:after="0"/>
              <w:rPr>
                <w:sz w:val="20"/>
                <w:szCs w:val="20"/>
                <w:color w:val="auto"/>
              </w:rPr>
            </w:pPr>
            <w:r>
              <w:rPr>
                <w:rFonts w:ascii="Arial" w:cs="Arial" w:eastAsia="Arial" w:hAnsi="Arial"/>
                <w:sz w:val="18"/>
                <w:szCs w:val="18"/>
                <w:color w:val="auto"/>
              </w:rPr>
              <w:t>Loan originations and principal collections,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(16,778)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Purchases of premises and equipment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6"/>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w w:val="89"/>
              </w:rPr>
              <w:t>Proceeds from sales of real estate owned and other repossessed collateral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(47,099)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(57,724)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160"/>
              <w:spacing w:after="0"/>
              <w:rPr>
                <w:sz w:val="20"/>
                <w:szCs w:val="20"/>
                <w:color w:val="auto"/>
              </w:rPr>
            </w:pPr>
            <w:r>
              <w:rPr>
                <w:rFonts w:ascii="Arial" w:cs="Arial" w:eastAsia="Arial" w:hAnsi="Arial"/>
                <w:sz w:val="18"/>
                <w:szCs w:val="18"/>
                <w:color w:val="auto"/>
              </w:rPr>
              <w:t>Net increase in deposits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57,511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Net (decrease) increase in short-term borrowings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160"/>
              <w:spacing w:after="0"/>
              <w:rPr>
                <w:sz w:val="20"/>
                <w:szCs w:val="20"/>
                <w:color w:val="auto"/>
              </w:rPr>
            </w:pPr>
            <w:r>
              <w:rPr>
                <w:rFonts w:ascii="Arial" w:cs="Arial" w:eastAsia="Arial" w:hAnsi="Arial"/>
                <w:sz w:val="18"/>
                <w:szCs w:val="18"/>
                <w:color w:val="auto"/>
              </w:rPr>
              <w:t>Repurchase of 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(4,102)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ind w:left="160"/>
              <w:spacing w:after="0"/>
              <w:rPr>
                <w:sz w:val="20"/>
                <w:szCs w:val="20"/>
                <w:color w:val="auto"/>
              </w:rPr>
            </w:pPr>
            <w:r>
              <w:rPr>
                <w:rFonts w:ascii="Arial" w:cs="Arial" w:eastAsia="Arial" w:hAnsi="Arial"/>
                <w:sz w:val="18"/>
                <w:szCs w:val="18"/>
                <w:color w:val="auto"/>
              </w:rPr>
              <w:t>Proceeds from FHLB advances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Repayments of FHLB advances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6"/>
          </w:tcPr>
          <w:p>
            <w:pPr>
              <w:ind w:left="160"/>
              <w:spacing w:after="0"/>
              <w:rPr>
                <w:sz w:val="20"/>
                <w:szCs w:val="20"/>
                <w:color w:val="auto"/>
              </w:rPr>
            </w:pPr>
            <w:r>
              <w:rPr>
                <w:rFonts w:ascii="Arial" w:cs="Arial" w:eastAsia="Arial" w:hAnsi="Arial"/>
                <w:sz w:val="18"/>
                <w:szCs w:val="18"/>
                <w:color w:val="auto"/>
              </w:rPr>
              <w:t>Repayment of wholesale repurchase agreements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45,402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57,189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Net decrease in cash and cash equivalents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w w:val="90"/>
              </w:rPr>
              <w:t>Cash and cash equivalents, beginning of period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82,259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83,269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8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11"/>
          </w:tcPr>
          <w:p>
            <w:pPr>
              <w:ind w:left="160"/>
              <w:spacing w:after="0"/>
              <w:rPr>
                <w:sz w:val="20"/>
                <w:szCs w:val="20"/>
                <w:color w:val="auto"/>
              </w:rPr>
            </w:pPr>
            <w:r>
              <w:rPr>
                <w:rFonts w:ascii="Arial" w:cs="Arial" w:eastAsia="Arial" w:hAnsi="Arial"/>
                <w:sz w:val="18"/>
                <w:szCs w:val="18"/>
                <w:color w:val="auto"/>
                <w:w w:val="89"/>
              </w:rPr>
              <w:t>Transfers from loans to real estate owned and other repossessed collateral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241</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w w:val="89"/>
              </w:rPr>
              <w:t>Transfers from real estate owned and other repossessed collateral to loans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-8474075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-8474075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ectPr>
          <w:pgSz w:w="11900" w:h="16838" w:orient="portrait"/>
          <w:cols w:equalWidth="0" w:num="1">
            <w:col w:w="11460"/>
          </w:cols>
          <w:pgMar w:left="240" w:top="140" w:right="199" w:bottom="0" w:gutter="0" w:footer="0" w:header="0"/>
          <w:type w:val="continuous"/>
        </w:sectPr>
      </w:pPr>
    </w:p>
    <w:bookmarkStart w:id="5" w:name="page6"/>
    <w:bookmarkEnd w:id="5"/>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2014</w:t>
      </w:r>
    </w:p>
    <w:p>
      <w:pPr>
        <w:spacing w:after="0" w:line="207"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These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2014 (“Fiscal 2014”) included in the Company’s Annual Report on Form 10-K filed with the Securities and Exchange Commission.</w:t>
      </w:r>
    </w:p>
    <w:p>
      <w:pPr>
        <w:spacing w:after="0" w:line="17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May 2014, the Financial Accounting Standards Board (“FASB”) issued ASU 2014-09</w:t>
      </w:r>
      <w:r>
        <w:rPr>
          <w:rFonts w:ascii="Arial" w:cs="Arial" w:eastAsia="Arial" w:hAnsi="Arial"/>
          <w:sz w:val="16"/>
          <w:szCs w:val="16"/>
          <w:i w:val="1"/>
          <w:iCs w:val="1"/>
          <w:color w:val="auto"/>
        </w:rPr>
        <w:t>, Revenue from Contracts with Customers (Topic 606)</w:t>
      </w:r>
      <w:r>
        <w:rPr>
          <w:rFonts w:ascii="Arial" w:cs="Arial" w:eastAsia="Arial" w:hAnsi="Arial"/>
          <w:sz w:val="16"/>
          <w:szCs w:val="16"/>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2014-09 is effective January 1, 2017 and is not expected to have a significant impact on the Company’s financial statements.</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June 2014, the FASB issued ASU 2014-11, </w:t>
      </w:r>
      <w:r>
        <w:rPr>
          <w:rFonts w:ascii="Arial" w:cs="Arial" w:eastAsia="Arial" w:hAnsi="Arial"/>
          <w:sz w:val="17"/>
          <w:szCs w:val="17"/>
          <w:i w:val="1"/>
          <w:iCs w:val="1"/>
          <w:color w:val="auto"/>
        </w:rPr>
        <w:t>Transfers and Servicing (Topic 860): Repurchase-to-Maturity Transactions, Repurchase Financings,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w:t>
      </w:r>
      <w:r>
        <w:rPr>
          <w:rFonts w:ascii="Arial" w:cs="Arial" w:eastAsia="Arial" w:hAnsi="Arial"/>
          <w:sz w:val="17"/>
          <w:szCs w:val="17"/>
          <w:color w:val="auto"/>
        </w:rPr>
        <w:t>(“ASU 2014-11”). ASU 2014-11 requires that repurchase-to-maturity transactions be accounted for as secured borrowings consistent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other repurchase agreements. In addition, ASU 2014-11 requires separate accounting for repurchase financings, which entails the transfer of a financial asset executed contemporaneously with a repurchase agreement with the same counterparty. ASU 2014-11 requires entities to disclose certain information about transfers accounted for as sales in transactions that are economically similar to repurchase agreements. In addition, ASU 2014-11 requires disclosures related to collateral, remaining contractual tenor and of the potential risks associated with repurchase agreements, securities lending transactions and repurchase-to-maturity transactions. ASU 2014-11 is effective January 1, 2015 and is not expected to have a significant impact on the Company’s financial statements.</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2014, the FASB issued ASU 2014-14, </w:t>
      </w:r>
      <w:r>
        <w:rPr>
          <w:rFonts w:ascii="Arial" w:cs="Arial" w:eastAsia="Arial" w:hAnsi="Arial"/>
          <w:sz w:val="16"/>
          <w:szCs w:val="16"/>
          <w:i w:val="1"/>
          <w:iCs w:val="1"/>
          <w:color w:val="auto"/>
        </w:rPr>
        <w:t>Receivables - Troubled Debt Restructurings by Creditors (Subtopic 310-40): Classification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Government-Guaranteed Mortgage Loans upon Foreclosure (“ </w:t>
      </w:r>
      <w:r>
        <w:rPr>
          <w:rFonts w:ascii="Arial" w:cs="Arial" w:eastAsia="Arial" w:hAnsi="Arial"/>
          <w:sz w:val="16"/>
          <w:szCs w:val="16"/>
          <w:color w:val="auto"/>
        </w:rPr>
        <w:t>ASU 2014-14</w:t>
      </w:r>
      <w:r>
        <w:rPr>
          <w:rFonts w:ascii="Arial" w:cs="Arial" w:eastAsia="Arial" w:hAnsi="Arial"/>
          <w:sz w:val="16"/>
          <w:szCs w:val="16"/>
          <w:i w:val="1"/>
          <w:iCs w:val="1"/>
          <w:color w:val="auto"/>
        </w:rPr>
        <w:t xml:space="preserve"> “) </w:t>
      </w:r>
      <w:r>
        <w:rPr>
          <w:rFonts w:ascii="Arial" w:cs="Arial" w:eastAsia="Arial" w:hAnsi="Arial"/>
          <w:sz w:val="16"/>
          <w:szCs w:val="16"/>
          <w:color w:val="auto"/>
        </w:rPr>
        <w:t>. ASU 2014-14 affects creditors that hold government-guaranteed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loans, including those guaranteed by the Federal Housing Administration (FHA) of the U.S. Department of Housing and Urban Development (HUD), and the U.S. Department of Veterans Affairs (VA). The update requires that, upon foreclosure, a guaranteed mortgage loan be derecognized and a separate other receivable be recognized when specific criteria are met. ASU 2014-14 is effective for fiscal years, and interim periods within those fiscal years, beginning after December 15, 2014. The adoption of this guidance is not expected to have a significant impact on the Company’s financial statements.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Gross Unrealized</w:t>
            </w:r>
          </w:p>
        </w:tc>
        <w:tc>
          <w:tcPr>
            <w:tcW w:w="300" w:type="dxa"/>
            <w:vAlign w:val="bottom"/>
          </w:tcPr>
          <w:p>
            <w:pPr>
              <w:spacing w:after="0"/>
              <w:rPr>
                <w:sz w:val="10"/>
                <w:szCs w:val="10"/>
                <w:color w:val="auto"/>
              </w:rPr>
            </w:pPr>
          </w:p>
        </w:tc>
        <w:tc>
          <w:tcPr>
            <w:tcW w:w="1060" w:type="dxa"/>
            <w:vAlign w:val="bottom"/>
          </w:tcPr>
          <w:p>
            <w:pPr>
              <w:jc w:val="center"/>
              <w:ind w:right="198"/>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3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6"/>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48,317</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60,553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(1,033)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59,524</w:t>
            </w:r>
          </w:p>
        </w:tc>
      </w:tr>
      <w:tr>
        <w:trPr>
          <w:trHeight w:val="223"/>
        </w:trPr>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0"/>
              </w:rPr>
              <w:t>June 30, 2014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3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Gross Unrealized</w:t>
            </w:r>
          </w:p>
        </w:tc>
        <w:tc>
          <w:tcPr>
            <w:tcW w:w="300" w:type="dxa"/>
            <w:vAlign w:val="bottom"/>
          </w:tcPr>
          <w:p>
            <w:pPr>
              <w:spacing w:after="0"/>
              <w:rPr>
                <w:sz w:val="10"/>
                <w:szCs w:val="10"/>
                <w:color w:val="auto"/>
              </w:rPr>
            </w:pPr>
          </w:p>
        </w:tc>
        <w:tc>
          <w:tcPr>
            <w:tcW w:w="1060" w:type="dxa"/>
            <w:vAlign w:val="bottom"/>
          </w:tcPr>
          <w:p>
            <w:pPr>
              <w:jc w:val="center"/>
              <w:ind w:right="198"/>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3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6"/>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66,744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(1,284)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65,463</w:t>
            </w:r>
          </w:p>
        </w:tc>
      </w:tr>
      <w:tr>
        <w:trPr>
          <w:trHeight w:val="223"/>
        </w:trPr>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and six months ended December 31, 2014 or 2013. At December 31, 2014, investment securities with a fair value of approximately $34.7 million were pledged as collateral to secure outstanding borrowings.</w:t>
      </w:r>
    </w:p>
    <w:p>
      <w:pPr>
        <w:sectPr>
          <w:pgSz w:w="11900" w:h="16838" w:orient="portrait"/>
          <w:cols w:equalWidth="0" w:num="1">
            <w:col w:w="11380"/>
          </w:cols>
          <w:pgMar w:left="240" w:top="341" w:right="279" w:bottom="0" w:gutter="0" w:footer="0" w:header="0"/>
        </w:sectPr>
      </w:pPr>
    </w:p>
    <w:bookmarkStart w:id="6" w:name="page7"/>
    <w:bookmarkEnd w:id="6"/>
    <w:p>
      <w:pPr>
        <w:ind w:right="58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1"/>
              </w:rPr>
              <w:t>December 31,2014</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12"/>
                <w:szCs w:val="12"/>
                <w:color w:val="auto"/>
              </w:rPr>
            </w:pPr>
          </w:p>
        </w:tc>
        <w:tc>
          <w:tcPr>
            <w:tcW w:w="2420" w:type="dxa"/>
            <w:vAlign w:val="bottom"/>
            <w:gridSpan w:val="5"/>
          </w:tcPr>
          <w:p>
            <w:pPr>
              <w:ind w:left="340"/>
              <w:spacing w:after="0" w:line="142" w:lineRule="exact"/>
              <w:rPr>
                <w:sz w:val="20"/>
                <w:szCs w:val="20"/>
                <w:color w:val="auto"/>
              </w:rPr>
            </w:pPr>
            <w:r>
              <w:rPr>
                <w:rFonts w:ascii="Arial" w:cs="Arial" w:eastAsia="Arial" w:hAnsi="Arial"/>
                <w:sz w:val="14"/>
                <w:szCs w:val="14"/>
                <w:b w:val="1"/>
                <w:bCs w:val="1"/>
                <w:color w:val="auto"/>
              </w:rPr>
              <w:t>More than 12 Months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jc w:val="right"/>
              <w:ind w:right="25"/>
              <w:spacing w:after="0" w:line="142" w:lineRule="exact"/>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3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4"/>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54,970</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57,158</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(1,033)</w:t>
            </w:r>
          </w:p>
        </w:tc>
      </w:tr>
      <w:tr>
        <w:trPr>
          <w:trHeight w:val="223"/>
        </w:trPr>
        <w:tc>
          <w:tcPr>
            <w:tcW w:w="3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June 30, 2014</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12"/>
                <w:szCs w:val="12"/>
                <w:color w:val="auto"/>
              </w:rPr>
            </w:pPr>
          </w:p>
        </w:tc>
        <w:tc>
          <w:tcPr>
            <w:tcW w:w="2420" w:type="dxa"/>
            <w:vAlign w:val="bottom"/>
            <w:gridSpan w:val="5"/>
          </w:tcPr>
          <w:p>
            <w:pPr>
              <w:ind w:left="340"/>
              <w:spacing w:after="0" w:line="142" w:lineRule="exact"/>
              <w:rPr>
                <w:sz w:val="20"/>
                <w:szCs w:val="20"/>
                <w:color w:val="auto"/>
              </w:rPr>
            </w:pPr>
            <w:r>
              <w:rPr>
                <w:rFonts w:ascii="Arial" w:cs="Arial" w:eastAsia="Arial" w:hAnsi="Arial"/>
                <w:sz w:val="14"/>
                <w:szCs w:val="14"/>
                <w:b w:val="1"/>
                <w:bCs w:val="1"/>
                <w:color w:val="auto"/>
              </w:rPr>
              <w:t>More than 12 Months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jc w:val="right"/>
              <w:ind w:right="25"/>
              <w:spacing w:after="0" w:line="142" w:lineRule="exact"/>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3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4"/>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62,734</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62,734</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(1,284)</w:t>
            </w:r>
          </w:p>
        </w:tc>
      </w:tr>
      <w:tr>
        <w:trPr>
          <w:trHeight w:val="223"/>
        </w:trPr>
        <w:tc>
          <w:tcPr>
            <w:tcW w:w="3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six months ended December 31, 2014 or 2013.</w:t>
      </w:r>
    </w:p>
    <w:p>
      <w:pPr>
        <w:spacing w:after="0" w:line="22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At December 31, 2014, the Company had twenty securities in a continuous loss position for greater than twelve months. At December 31, 2014, all of the Company’s available-for-sale securities were issued or guaranteed by either government agencies or government-sponsored enterprises. The decline in fair value of the Company’s available-for-sale securities at December 31, 2014 is attributable to changes in interest rates.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Management does not believe any of the Company’s available-for-sale securities are other-than-temporarily impaired at December 31, 2014.</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December 31, 2014. Actual maturities may differ from contractual maturities because borrowers may have the right to call or prepay obligations with or without call or prepayment penalties.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Amortized</w:t>
            </w:r>
          </w:p>
        </w:tc>
        <w:tc>
          <w:tcPr>
            <w:tcW w:w="580" w:type="dxa"/>
            <w:vAlign w:val="bottom"/>
          </w:tcPr>
          <w:p>
            <w:pPr>
              <w:spacing w:after="0"/>
              <w:rPr>
                <w:sz w:val="14"/>
                <w:szCs w:val="14"/>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Fair</w:t>
            </w:r>
          </w:p>
        </w:tc>
        <w:tc>
          <w:tcPr>
            <w:tcW w:w="3100" w:type="dxa"/>
            <w:vAlign w:val="bottom"/>
          </w:tcPr>
          <w:p>
            <w:pPr>
              <w:spacing w:after="0"/>
              <w:rPr>
                <w:sz w:val="14"/>
                <w:szCs w:val="14"/>
                <w:color w:val="auto"/>
              </w:rPr>
            </w:pPr>
          </w:p>
        </w:tc>
      </w:tr>
      <w:tr>
        <w:trPr>
          <w:trHeight w:val="171"/>
        </w:trPr>
        <w:tc>
          <w:tcPr>
            <w:tcW w:w="3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Cost</w:t>
            </w:r>
          </w:p>
        </w:tc>
        <w:tc>
          <w:tcPr>
            <w:tcW w:w="58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3100" w:type="dxa"/>
            <w:vAlign w:val="bottom"/>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9,035</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9,039</w:t>
            </w:r>
          </w:p>
        </w:tc>
        <w:tc>
          <w:tcPr>
            <w:tcW w:w="310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39,267</w:t>
            </w:r>
          </w:p>
        </w:tc>
        <w:tc>
          <w:tcPr>
            <w:tcW w:w="5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39,278</w:t>
            </w:r>
          </w:p>
        </w:tc>
        <w:tc>
          <w:tcPr>
            <w:tcW w:w="3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30,053</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29,718</w:t>
            </w:r>
          </w:p>
        </w:tc>
        <w:tc>
          <w:tcPr>
            <w:tcW w:w="310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Due after ten years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30,500</w:t>
            </w:r>
          </w:p>
        </w:tc>
        <w:tc>
          <w:tcPr>
            <w:tcW w:w="5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29,806</w:t>
            </w:r>
          </w:p>
        </w:tc>
        <w:tc>
          <w:tcPr>
            <w:tcW w:w="3100" w:type="dxa"/>
            <w:vAlign w:val="bottom"/>
          </w:tcPr>
          <w:p>
            <w:pPr>
              <w:spacing w:after="0"/>
              <w:rPr>
                <w:sz w:val="18"/>
                <w:szCs w:val="18"/>
                <w:color w:val="auto"/>
              </w:rPr>
            </w:pPr>
          </w:p>
        </w:tc>
      </w:tr>
      <w:tr>
        <w:trPr>
          <w:trHeight w:val="210"/>
        </w:trPr>
        <w:tc>
          <w:tcPr>
            <w:tcW w:w="37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496"/>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32"/>
        </w:trPr>
        <w:tc>
          <w:tcPr>
            <w:tcW w:w="37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 — 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ectPr>
          <w:pgSz w:w="11900" w:h="16838" w:orient="portrait"/>
          <w:cols w:equalWidth="0" w:num="1">
            <w:col w:w="11460"/>
          </w:cols>
          <w:pgMar w:left="240" w:top="341" w:right="199" w:bottom="0" w:gutter="0" w:footer="0" w:header="0"/>
        </w:sectPr>
      </w:pPr>
    </w:p>
    <w:bookmarkStart w:id="7" w:name="page8"/>
    <w:bookmarkEnd w:id="7"/>
    <w:p>
      <w:pPr>
        <w:ind w:right="8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2014</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Originated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12"/>
                <w:szCs w:val="12"/>
                <w:color w:val="auto"/>
              </w:rPr>
            </w:pPr>
          </w:p>
        </w:tc>
        <w:tc>
          <w:tcPr>
            <w:tcW w:w="9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Originated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2"/>
              </w:rPr>
              <w:t>Purchased</w:t>
            </w:r>
          </w:p>
        </w:tc>
        <w:tc>
          <w:tcPr>
            <w:tcW w:w="24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4"/>
          </w:tcPr>
          <w:p>
            <w:pPr>
              <w:jc w:val="right"/>
              <w:ind w:right="513"/>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112,272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120,659</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25,534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25,534</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27,975</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343,481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199,481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316,098</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82,672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82,939</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41,518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41,800</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9,884</w:t>
            </w:r>
          </w:p>
        </w:tc>
        <w:tc>
          <w:tcPr>
            <w:tcW w:w="80" w:type="dxa"/>
            <w:vAlign w:val="bottom"/>
            <w:shd w:val="clear" w:color="auto" w:fill="CCEEFF"/>
          </w:tcPr>
          <w:p>
            <w:pPr>
              <w:spacing w:after="0"/>
              <w:rPr>
                <w:sz w:val="18"/>
                <w:szCs w:val="18"/>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220,392</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575,335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516,416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Related Party Loans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Bank’s authority to extend credit to their respective directors and executive officers, as well as to entities controlled by such persons, is currently governed by the requirements of the Sarbanes-Oxley Act of 2002 and Regulation O of the Board of Governors of the Federal Reserve System. Among other things, these provisions require that extensions of credit to insiders (1) be made on terms that are substantially the same as, and follow credit underwriting procedures that are not less stringent than, those prevailing for comparable transactions with unaffiliated persons and that do not involve more than the normal risk of repayment or present other unfavorable features; and (2) not exceed certain limitations on the amount of credit extended to such persons, individually and in the aggregate, which limits are based, in part, on the amount of the Bank’s capital. In addition, the extensions of credit to insiders must be approved by each Bank’s Board of Directors.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Total loans and advances, to directors, executive officers and their affiliates were $416 thousand at December 31, 2014. All loans were performing at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88" w:lineRule="exact"/>
        <w:rPr>
          <w:sz w:val="20"/>
          <w:szCs w:val="20"/>
          <w:color w:val="auto"/>
        </w:rPr>
      </w:pPr>
    </w:p>
    <w:p>
      <w:pPr>
        <w:ind w:left="480" w:right="4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80" w:right="20"/>
        <w:spacing w:after="0" w:line="297"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58" w:lineRule="exact"/>
        <w:rPr>
          <w:sz w:val="20"/>
          <w:szCs w:val="20"/>
          <w:color w:val="auto"/>
        </w:rPr>
      </w:pPr>
    </w:p>
    <w:p>
      <w:pPr>
        <w:jc w:val="both"/>
        <w:ind w:left="480" w:right="280"/>
        <w:spacing w:after="0" w:line="264"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480" w:right="24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80" w:right="20"/>
        <w:spacing w:after="0" w:line="302"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w:t>
      </w:r>
    </w:p>
    <w:p>
      <w:pPr>
        <w:sectPr>
          <w:pgSz w:w="11900" w:h="16838" w:orient="portrait"/>
          <w:cols w:equalWidth="0" w:num="1">
            <w:col w:w="11420"/>
          </w:cols>
          <w:pgMar w:left="240" w:top="125" w:right="239" w:bottom="0" w:gutter="0" w:footer="0" w:header="0"/>
        </w:sectPr>
      </w:pPr>
    </w:p>
    <w:bookmarkStart w:id="8" w:name="page9"/>
    <w:bookmarkEnd w:id="8"/>
    <w:p>
      <w:pPr>
        <w:spacing w:after="0" w:line="11" w:lineRule="exact"/>
        <w:rPr>
          <w:sz w:val="20"/>
          <w:szCs w:val="20"/>
          <w:color w:val="auto"/>
        </w:rPr>
      </w:pPr>
    </w:p>
    <w:p>
      <w:pPr>
        <w:ind w:left="480" w:right="140"/>
        <w:spacing w:after="0" w:line="302" w:lineRule="auto"/>
        <w:rPr>
          <w:sz w:val="20"/>
          <w:szCs w:val="20"/>
          <w:color w:val="auto"/>
        </w:rPr>
      </w:pPr>
      <w:r>
        <w:rPr>
          <w:rFonts w:ascii="Arial" w:cs="Arial" w:eastAsia="Arial" w:hAnsi="Arial"/>
          <w:sz w:val="16"/>
          <w:szCs w:val="16"/>
          <w:color w:val="auto"/>
        </w:rPr>
        <w:t>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5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 and nonperforming loans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three and six months ended December 31, 2014 or 2013.</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TDRs are individually reviewed for impairment.</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3"/>
              </w:rPr>
              <w:t>Three Months Ended December 31, 2014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3"/>
              </w:rPr>
              <w:t>Three Months Ended December 31, 2013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3"/>
              </w:rPr>
              <w:t>Six Months Ended December 31, 2014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right="80"/>
              <w:spacing w:after="0" w:line="144"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49" w:orient="portrait"/>
          <w:cols w:equalWidth="0" w:num="1">
            <w:col w:w="11420"/>
          </w:cols>
          <w:pgMar w:left="240" w:top="125" w:right="239" w:bottom="0" w:gutter="0" w:footer="0" w:header="0"/>
        </w:sectPr>
      </w:pPr>
    </w:p>
    <w:p>
      <w:pPr>
        <w:spacing w:after="0"/>
        <w:tabs>
          <w:tab w:leader="none" w:pos="1940" w:val="left"/>
          <w:tab w:leader="none" w:pos="2820" w:val="left"/>
          <w:tab w:leader="none" w:pos="3320" w:val="left"/>
          <w:tab w:leader="none" w:pos="4180" w:val="left"/>
          <w:tab w:leader="none" w:pos="4680" w:val="left"/>
          <w:tab w:leader="none" w:pos="5660" w:val="left"/>
          <w:tab w:leader="none" w:pos="6060" w:val="left"/>
          <w:tab w:leader="none" w:pos="7040" w:val="left"/>
          <w:tab w:leader="none" w:pos="7440" w:val="left"/>
          <w:tab w:leader="none" w:pos="8320" w:val="left"/>
          <w:tab w:leader="none" w:pos="8820" w:val="left"/>
          <w:tab w:leader="none" w:pos="9780" w:val="left"/>
          <w:tab w:leader="none" w:pos="10180" w:val="left"/>
          <w:tab w:leader="none" w:pos="10880" w:val="left"/>
        </w:tabs>
        <w:rPr>
          <w:sz w:val="20"/>
          <w:szCs w:val="20"/>
          <w:color w:val="auto"/>
        </w:rPr>
      </w:pPr>
      <w:r>
        <w:rPr>
          <w:rFonts w:ascii="Arial" w:cs="Arial" w:eastAsia="Arial" w:hAnsi="Arial"/>
          <w:sz w:val="18"/>
          <w:szCs w:val="18"/>
          <w:color w:val="auto"/>
        </w:rPr>
        <w:t>Beginning balance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580</w:t>
        <w:tab/>
        <w:t>$</w:t>
      </w:r>
      <w:r>
        <w:rPr>
          <w:sz w:val="20"/>
          <w:szCs w:val="20"/>
          <w:color w:val="auto"/>
        </w:rPr>
        <w:tab/>
      </w:r>
      <w:r>
        <w:rPr>
          <w:rFonts w:ascii="Arial" w:cs="Arial" w:eastAsia="Arial" w:hAnsi="Arial"/>
          <w:sz w:val="18"/>
          <w:szCs w:val="18"/>
          <w:color w:val="auto"/>
        </w:rPr>
        <w:t>358</w:t>
        <w:tab/>
        <w:t>$</w:t>
      </w:r>
      <w:r>
        <w:rPr>
          <w:sz w:val="20"/>
          <w:szCs w:val="20"/>
          <w:color w:val="auto"/>
        </w:rPr>
        <w:tab/>
      </w:r>
      <w:r>
        <w:rPr>
          <w:rFonts w:ascii="Arial" w:cs="Arial" w:eastAsia="Arial" w:hAnsi="Arial"/>
          <w:sz w:val="18"/>
          <w:szCs w:val="18"/>
          <w:color w:val="auto"/>
        </w:rPr>
        <w:t>48</w:t>
        <w:tab/>
        <w:t>$</w:t>
      </w:r>
      <w:r>
        <w:rPr>
          <w:sz w:val="20"/>
          <w:szCs w:val="20"/>
          <w:color w:val="auto"/>
        </w:rPr>
        <w:tab/>
      </w:r>
      <w:r>
        <w:rPr>
          <w:rFonts w:ascii="Arial" w:cs="Arial" w:eastAsia="Arial" w:hAnsi="Arial"/>
          <w:sz w:val="18"/>
          <w:szCs w:val="18"/>
          <w:color w:val="auto"/>
        </w:rPr>
        <w:t>79</w:t>
        <w:tab/>
        <w:t>$</w:t>
      </w:r>
      <w:r>
        <w:rPr>
          <w:sz w:val="20"/>
          <w:szCs w:val="20"/>
          <w:color w:val="auto"/>
        </w:rPr>
        <w:tab/>
      </w:r>
      <w:r>
        <w:rPr>
          <w:rFonts w:ascii="Arial" w:cs="Arial" w:eastAsia="Arial" w:hAnsi="Arial"/>
          <w:sz w:val="18"/>
          <w:szCs w:val="18"/>
          <w:color w:val="auto"/>
        </w:rPr>
        <w:t>267</w:t>
        <w:tab/>
        <w:t>$</w:t>
      </w:r>
      <w:r>
        <w:rPr>
          <w:sz w:val="20"/>
          <w:szCs w:val="20"/>
          <w:color w:val="auto"/>
        </w:rPr>
        <w:tab/>
      </w:r>
      <w:r>
        <w:rPr>
          <w:rFonts w:ascii="Arial" w:cs="Arial" w:eastAsia="Arial" w:hAnsi="Arial"/>
          <w:sz w:val="18"/>
          <w:szCs w:val="18"/>
          <w:color w:val="auto"/>
        </w:rPr>
        <w:t>35</w:t>
        <w:tab/>
        <w:t>$</w:t>
      </w:r>
      <w:r>
        <w:rPr>
          <w:sz w:val="20"/>
          <w:szCs w:val="20"/>
          <w:color w:val="auto"/>
        </w:rPr>
        <w:tab/>
      </w:r>
      <w:r>
        <w:rPr>
          <w:rFonts w:ascii="Arial" w:cs="Arial" w:eastAsia="Arial" w:hAnsi="Arial"/>
          <w:sz w:val="16"/>
          <w:szCs w:val="16"/>
          <w:color w:val="auto"/>
        </w:rPr>
        <w:t>1,367</w:t>
      </w:r>
    </w:p>
    <w:p>
      <w:pPr>
        <w:sectPr>
          <w:pgSz w:w="11900" w:h="16849" w:orient="portrait"/>
          <w:cols w:equalWidth="0" w:num="1">
            <w:col w:w="11420"/>
          </w:cols>
          <w:pgMar w:left="240" w:top="125"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auto"/>
              </w:rPr>
              <w:t>Six Months Ended December 31, 2013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Consumer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Unallocated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6"/>
          </w:tcPr>
          <w:p>
            <w:pPr>
              <w:jc w:val="center"/>
              <w:ind w:left="63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ASC 310-30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134,380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ASC 310-30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210,275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210,275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Consumer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Unallocated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6"/>
          </w:tcPr>
          <w:p>
            <w:pPr>
              <w:jc w:val="center"/>
              <w:ind w:left="63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ASC 310-30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142,633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ASC 310-30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198,703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Recorded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Unpaid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Related</w:t>
            </w: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Unpaid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Principal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Investment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Allowance</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6"/>
              </w:rPr>
              <w:t>Impaired loans without a valuation allowance: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center"/>
              <w:ind w:left="594"/>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12,301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3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20"/>
                <w:szCs w:val="20"/>
                <w:color w:val="auto"/>
              </w:rPr>
            </w:pPr>
          </w:p>
        </w:tc>
      </w:tr>
      <w:tr>
        <w:trPr>
          <w:trHeight w:val="210"/>
        </w:trPr>
        <w:tc>
          <w:tcPr>
            <w:tcW w:w="28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10"/>
        </w:trPr>
        <w:tc>
          <w:tcPr>
            <w:tcW w:w="2860" w:type="dxa"/>
            <w:vAlign w:val="bottom"/>
          </w:tcPr>
          <w:p>
            <w:pPr>
              <w:ind w:left="540"/>
              <w:spacing w:after="0"/>
              <w:rPr>
                <w:sz w:val="20"/>
                <w:szCs w:val="20"/>
                <w:color w:val="auto"/>
              </w:rPr>
            </w:pPr>
            <w:r>
              <w:rPr>
                <w:rFonts w:ascii="Arial" w:cs="Arial" w:eastAsia="Arial" w:hAnsi="Arial"/>
                <w:sz w:val="18"/>
                <w:szCs w:val="18"/>
                <w:color w:val="auto"/>
              </w:rPr>
              <w:t>Total impaired loans</w:t>
            </w:r>
          </w:p>
        </w:tc>
        <w:tc>
          <w:tcPr>
            <w:tcW w:w="8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w:t>
            </w:r>
          </w:p>
        </w:tc>
        <w:tc>
          <w:tcPr>
            <w:tcW w:w="22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3"/>
        </w:trPr>
        <w:tc>
          <w:tcPr>
            <w:tcW w:w="2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32"/>
        </w:trPr>
        <w:tc>
          <w:tcPr>
            <w:tcW w:w="28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74"/>
              <w:spacing w:after="0"/>
              <w:rPr>
                <w:sz w:val="20"/>
                <w:szCs w:val="20"/>
                <w:color w:val="auto"/>
              </w:rPr>
            </w:pPr>
            <w:r>
              <w:rPr>
                <w:rFonts w:ascii="Arial" w:cs="Arial" w:eastAsia="Arial" w:hAnsi="Arial"/>
                <w:sz w:val="14"/>
                <w:szCs w:val="14"/>
                <w:b w:val="1"/>
                <w:bCs w:val="1"/>
                <w:color w:val="auto"/>
                <w:w w:val="93"/>
              </w:rPr>
              <w:t>Three Months Ended December 31,</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2014</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w w:val="83"/>
              </w:rPr>
              <w:t>2013</w:t>
            </w: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Recognized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5"/>
          </w:tcPr>
          <w:p>
            <w:pPr>
              <w:jc w:val="center"/>
              <w:ind w:right="9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Originated: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Originated: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520"/>
              <w:spacing w:after="0"/>
              <w:rPr>
                <w:sz w:val="20"/>
                <w:szCs w:val="20"/>
                <w:color w:val="auto"/>
              </w:rPr>
            </w:pPr>
            <w:r>
              <w:rPr>
                <w:rFonts w:ascii="Arial" w:cs="Arial" w:eastAsia="Arial" w:hAnsi="Arial"/>
                <w:sz w:val="18"/>
                <w:szCs w:val="18"/>
                <w:color w:val="auto"/>
              </w:rPr>
              <w:t>Total impaired loans</w:t>
            </w:r>
          </w:p>
        </w:tc>
        <w:tc>
          <w:tcPr>
            <w:tcW w:w="7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94"/>
              <w:spacing w:after="0"/>
              <w:rPr>
                <w:sz w:val="20"/>
                <w:szCs w:val="20"/>
                <w:color w:val="auto"/>
              </w:rPr>
            </w:pPr>
            <w:r>
              <w:rPr>
                <w:rFonts w:ascii="Arial" w:cs="Arial" w:eastAsia="Arial" w:hAnsi="Arial"/>
                <w:sz w:val="14"/>
                <w:szCs w:val="14"/>
                <w:b w:val="1"/>
                <w:bCs w:val="1"/>
                <w:color w:val="auto"/>
                <w:w w:val="92"/>
              </w:rPr>
              <w:t>Six Months Ended December 31,</w:t>
            </w: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2014</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w w:val="83"/>
              </w:rPr>
              <w:t>2013</w:t>
            </w: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Recognized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5"/>
          </w:tcPr>
          <w:p>
            <w:pPr>
              <w:jc w:val="center"/>
              <w:ind w:right="9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Originated: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Originated: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520"/>
              <w:spacing w:after="0"/>
              <w:rPr>
                <w:sz w:val="20"/>
                <w:szCs w:val="20"/>
                <w:color w:val="auto"/>
              </w:rPr>
            </w:pPr>
            <w:r>
              <w:rPr>
                <w:rFonts w:ascii="Arial" w:cs="Arial" w:eastAsia="Arial" w:hAnsi="Arial"/>
                <w:sz w:val="18"/>
                <w:szCs w:val="18"/>
                <w:color w:val="auto"/>
              </w:rPr>
              <w:t>Total impaired loans</w:t>
            </w:r>
          </w:p>
        </w:tc>
        <w:tc>
          <w:tcPr>
            <w:tcW w:w="7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business, and certain residential loans as follows: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ectPr>
          <w:pgSz w:w="11900" w:h="16838" w:orient="portrait"/>
          <w:cols w:equalWidth="0" w:num="1">
            <w:col w:w="11460"/>
          </w:cols>
          <w:pgMar w:left="240" w:top="125" w:right="199" w:bottom="0" w:gutter="0" w:footer="0" w:header="0"/>
        </w:sectPr>
      </w:pPr>
    </w:p>
    <w:bookmarkStart w:id="11" w:name="page12"/>
    <w:bookmarkEnd w:id="11"/>
    <w:p>
      <w:pPr>
        <w:spacing w:after="0" w:line="6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ectPr>
          <w:pgSz w:w="11900" w:h="16899"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Loans rated 1- 6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rated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rated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rated 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Loans rated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Loans rated 1- 6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rated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rated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rated 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Loans rated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390525</wp:posOffset>
            </wp:positionV>
            <wp:extent cx="17754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820"/>
        <w:spacing w:after="0"/>
        <w:rPr>
          <w:sz w:val="20"/>
          <w:szCs w:val="20"/>
          <w:color w:val="auto"/>
        </w:rPr>
      </w:pPr>
      <w:r>
        <w:rPr>
          <w:rFonts w:ascii="Arial" w:cs="Arial" w:eastAsia="Arial" w:hAnsi="Arial"/>
          <w:sz w:val="14"/>
          <w:szCs w:val="14"/>
          <w:b w:val="1"/>
          <w:bCs w:val="1"/>
          <w:color w:val="auto"/>
        </w:rPr>
        <w:t>December 31, 2014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620" w:type="dxa"/>
            <w:vAlign w:val="bottom"/>
            <w:tcBorders>
              <w:top w:val="single" w:sz="8" w:color="auto"/>
              <w:bottom w:val="single" w:sz="8" w:color="auto"/>
            </w:tcBorders>
            <w:gridSpan w:val="6"/>
          </w:tcPr>
          <w:p>
            <w:pPr>
              <w:ind w:left="500"/>
              <w:spacing w:after="0" w:line="142" w:lineRule="exact"/>
              <w:rPr>
                <w:sz w:val="20"/>
                <w:szCs w:val="20"/>
                <w:color w:val="auto"/>
              </w:rPr>
            </w:pPr>
            <w:r>
              <w:rPr>
                <w:rFonts w:ascii="Arial" w:cs="Arial" w:eastAsia="Arial" w:hAnsi="Arial"/>
                <w:sz w:val="14"/>
                <w:szCs w:val="14"/>
                <w:b w:val="1"/>
                <w:bCs w:val="1"/>
                <w:color w:val="auto"/>
              </w:rPr>
              <w:t>Originated Portfolio</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13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Commercial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Residential(1)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w w:val="96"/>
              </w:rPr>
              <w:t>Purchased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6"/>
              </w:rPr>
              <w:t>Business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7"/>
              </w:rPr>
              <w:t>Portfolio</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jc w:val="center"/>
              <w:ind w:right="60"/>
              <w:spacing w:after="0" w:line="128"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119,210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82,490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9,795</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208,566</w:t>
            </w:r>
          </w:p>
        </w:tc>
        <w:tc>
          <w:tcPr>
            <w:tcW w:w="52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420,061</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4,758</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8,481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1,599</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125,567</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440,080</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6"/>
          </w:tcPr>
          <w:p>
            <w:pPr>
              <w:ind w:left="500"/>
              <w:spacing w:after="0" w:line="142" w:lineRule="exact"/>
              <w:rPr>
                <w:sz w:val="20"/>
                <w:szCs w:val="20"/>
                <w:color w:val="auto"/>
              </w:rPr>
            </w:pPr>
            <w:r>
              <w:rPr>
                <w:rFonts w:ascii="Arial" w:cs="Arial" w:eastAsia="Arial" w:hAnsi="Arial"/>
                <w:sz w:val="14"/>
                <w:szCs w:val="14"/>
                <w:b w:val="1"/>
                <w:bCs w:val="1"/>
                <w:color w:val="auto"/>
              </w:rPr>
              <w:t>Originated Portfolio</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13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Commercial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Residential(1)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w w:val="96"/>
              </w:rPr>
              <w:t>Purchased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6"/>
              </w:rPr>
              <w:t>Business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7"/>
              </w:rPr>
              <w:t>Portfolio</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jc w:val="center"/>
              <w:ind w:right="60"/>
              <w:spacing w:after="0" w:line="128"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110,044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41,271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11,941</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189,986</w:t>
            </w:r>
          </w:p>
        </w:tc>
        <w:tc>
          <w:tcPr>
            <w:tcW w:w="52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353,242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4,880</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8,619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1,693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116,617</w:t>
            </w: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30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375,136</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-2348865</wp:posOffset>
            </wp:positionV>
            <wp:extent cx="65176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-2074545</wp:posOffset>
            </wp:positionV>
            <wp:extent cx="65176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-1800225</wp:posOffset>
            </wp:positionV>
            <wp:extent cx="65176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-857250</wp:posOffset>
            </wp:positionV>
            <wp:extent cx="651764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-582295</wp:posOffset>
            </wp:positionV>
            <wp:extent cx="65176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-307975</wp:posOffset>
            </wp:positionV>
            <wp:extent cx="651764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ectPr>
          <w:pgSz w:w="11900" w:h="16899" w:orient="portrait"/>
          <w:cols w:equalWidth="0" w:num="2">
            <w:col w:w="2620" w:space="720"/>
            <w:col w:w="8080"/>
          </w:cols>
          <w:pgMar w:left="240" w:top="125" w:right="239" w:bottom="0" w:gutter="0" w:footer="0" w:header="0"/>
          <w:type w:val="continuous"/>
        </w:sectPr>
      </w:pPr>
    </w:p>
    <w:p>
      <w:pPr>
        <w:spacing w:after="0" w:line="231" w:lineRule="exact"/>
        <w:rPr>
          <w:sz w:val="20"/>
          <w:szCs w:val="20"/>
          <w:color w:val="auto"/>
        </w:rPr>
      </w:pPr>
    </w:p>
    <w:p>
      <w:pPr>
        <w:ind w:left="3180" w:right="320" w:hanging="320"/>
        <w:spacing w:after="0" w:line="277" w:lineRule="auto"/>
        <w:tabs>
          <w:tab w:leader="none" w:pos="3174"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w w:val="96"/>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Past Due</w:t>
            </w:r>
          </w:p>
        </w:tc>
        <w:tc>
          <w:tcPr>
            <w:tcW w:w="300" w:type="dxa"/>
            <w:vAlign w:val="bottom"/>
          </w:tcPr>
          <w:p>
            <w:pPr>
              <w:spacing w:after="0"/>
              <w:rPr>
                <w:sz w:val="10"/>
                <w:szCs w:val="10"/>
                <w:color w:val="auto"/>
              </w:rPr>
            </w:pPr>
          </w:p>
        </w:tc>
        <w:tc>
          <w:tcPr>
            <w:tcW w:w="7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30-59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7"/>
              </w:rPr>
              <w:t>More-Still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More-</w:t>
            </w:r>
          </w:p>
        </w:tc>
        <w:tc>
          <w:tcPr>
            <w:tcW w:w="30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Days</w:t>
            </w: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Accruing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Nonaccrual</w:t>
            </w:r>
          </w:p>
        </w:tc>
        <w:tc>
          <w:tcPr>
            <w:tcW w:w="300" w:type="dxa"/>
            <w:vAlign w:val="bottom"/>
          </w:tcPr>
          <w:p>
            <w:pPr>
              <w:spacing w:after="0"/>
              <w:rPr>
                <w:sz w:val="14"/>
                <w:szCs w:val="14"/>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1,509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109,835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112,272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25,534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1,040</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124,315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125,567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82,672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8,898</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350,799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Purchased portfolio:</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217,914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7,411</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220,392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560,169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575,335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2"/>
              </w:rPr>
              <w:t>June 30, 2014</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w w:val="96"/>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Past Due</w:t>
            </w:r>
          </w:p>
        </w:tc>
        <w:tc>
          <w:tcPr>
            <w:tcW w:w="300" w:type="dxa"/>
            <w:vAlign w:val="bottom"/>
          </w:tcPr>
          <w:p>
            <w:pPr>
              <w:spacing w:after="0"/>
              <w:rPr>
                <w:sz w:val="10"/>
                <w:szCs w:val="10"/>
                <w:color w:val="auto"/>
              </w:rPr>
            </w:pPr>
          </w:p>
        </w:tc>
        <w:tc>
          <w:tcPr>
            <w:tcW w:w="7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30-59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More-Still</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More-</w:t>
            </w:r>
          </w:p>
        </w:tc>
        <w:tc>
          <w:tcPr>
            <w:tcW w:w="300" w:type="dxa"/>
            <w:vAlign w:val="bottom"/>
          </w:tcPr>
          <w:p>
            <w:pPr>
              <w:spacing w:after="0"/>
              <w:rPr>
                <w:sz w:val="16"/>
                <w:szCs w:val="16"/>
                <w:color w:val="auto"/>
              </w:rPr>
            </w:pPr>
          </w:p>
        </w:tc>
        <w:tc>
          <w:tcPr>
            <w:tcW w:w="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Past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bl>
    <w:p>
      <w:pPr>
        <w:sectPr>
          <w:pgSz w:w="11900" w:h="16899" w:orient="portrait"/>
          <w:cols w:equalWidth="0" w:num="1">
            <w:col w:w="11420"/>
          </w:cols>
          <w:pgMar w:left="240" w:top="125" w:right="23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Accruing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Nonaccrual</w:t>
            </w:r>
          </w:p>
        </w:tc>
        <w:tc>
          <w:tcPr>
            <w:tcW w:w="22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Loans</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Loans</w:t>
            </w:r>
          </w:p>
        </w:tc>
      </w:tr>
      <w:tr>
        <w:trPr>
          <w:trHeight w:val="142"/>
        </w:trPr>
        <w:tc>
          <w:tcPr>
            <w:tcW w:w="2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114,449</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116,972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27,975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126</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115,726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116,617</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41,518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188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9,884</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312,966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Purchased portfolio:</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199,481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4,116</w:t>
            </w:r>
          </w:p>
        </w:tc>
      </w:tr>
      <w:tr>
        <w:trPr>
          <w:trHeight w:val="210"/>
        </w:trPr>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6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201,455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Borders>
              <w:bottom w:val="single" w:sz="8" w:color="CCEEFF"/>
            </w:tcBorders>
          </w:tcPr>
          <w:p>
            <w:pPr>
              <w:spacing w:after="0"/>
              <w:rPr>
                <w:sz w:val="18"/>
                <w:szCs w:val="18"/>
                <w:color w:val="auto"/>
              </w:rPr>
            </w:pPr>
          </w:p>
        </w:tc>
      </w:tr>
      <w:tr>
        <w:trPr>
          <w:trHeight w:val="210"/>
        </w:trPr>
        <w:tc>
          <w:tcPr>
            <w:tcW w:w="2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62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510,510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516,416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5"/>
              </w:rPr>
              <w:t>Three Months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1"/>
              </w:rPr>
              <w:t>Six Months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420" w:type="dxa"/>
            <w:vAlign w:val="bottom"/>
          </w:tcPr>
          <w:p>
            <w:pPr>
              <w:spacing w:after="0"/>
              <w:rPr>
                <w:sz w:val="12"/>
                <w:szCs w:val="12"/>
                <w:color w:val="auto"/>
              </w:rPr>
            </w:pPr>
          </w:p>
        </w:tc>
        <w:tc>
          <w:tcPr>
            <w:tcW w:w="12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bottom w:val="single" w:sz="8" w:color="auto"/>
            </w:tcBorders>
            <w:gridSpan w:val="4"/>
          </w:tcPr>
          <w:p>
            <w:pPr>
              <w:jc w:val="right"/>
              <w:ind w:right="5"/>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bottom w:val="single" w:sz="8" w:color="auto"/>
            </w:tcBorders>
            <w:gridSpan w:val="4"/>
          </w:tcPr>
          <w:p>
            <w:pPr>
              <w:jc w:val="right"/>
              <w:ind w:right="7"/>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2420" w:type="dxa"/>
            <w:vAlign w:val="bottom"/>
          </w:tcPr>
          <w:p>
            <w:pPr>
              <w:spacing w:after="0"/>
              <w:rPr>
                <w:sz w:val="10"/>
                <w:szCs w:val="10"/>
                <w:color w:val="auto"/>
              </w:rPr>
            </w:pP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Recorded</w:t>
            </w:r>
          </w:p>
        </w:tc>
        <w:tc>
          <w:tcPr>
            <w:tcW w:w="220" w:type="dxa"/>
            <w:vAlign w:val="bottom"/>
          </w:tcPr>
          <w:p>
            <w:pPr>
              <w:spacing w:after="0"/>
              <w:rPr>
                <w:sz w:val="10"/>
                <w:szCs w:val="10"/>
                <w:color w:val="auto"/>
              </w:rPr>
            </w:pPr>
          </w:p>
        </w:tc>
        <w:tc>
          <w:tcPr>
            <w:tcW w:w="10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99"/>
              </w:rPr>
              <w:t>Recorded</w:t>
            </w:r>
          </w:p>
        </w:tc>
        <w:tc>
          <w:tcPr>
            <w:tcW w:w="220" w:type="dxa"/>
            <w:vAlign w:val="bottom"/>
          </w:tcPr>
          <w:p>
            <w:pPr>
              <w:spacing w:after="0"/>
              <w:rPr>
                <w:sz w:val="10"/>
                <w:szCs w:val="10"/>
                <w:color w:val="auto"/>
              </w:rPr>
            </w:pPr>
          </w:p>
        </w:tc>
        <w:tc>
          <w:tcPr>
            <w:tcW w:w="10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6"/>
              </w:rPr>
              <w:t>Recorded</w:t>
            </w:r>
          </w:p>
        </w:tc>
        <w:tc>
          <w:tcPr>
            <w:tcW w:w="220" w:type="dxa"/>
            <w:vAlign w:val="bottom"/>
          </w:tcPr>
          <w:p>
            <w:pPr>
              <w:spacing w:after="0"/>
              <w:rPr>
                <w:sz w:val="10"/>
                <w:szCs w:val="10"/>
                <w:color w:val="auto"/>
              </w:rPr>
            </w:pPr>
          </w:p>
        </w:tc>
        <w:tc>
          <w:tcPr>
            <w:tcW w:w="11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6"/>
              </w:rPr>
              <w:t>Recorded</w:t>
            </w:r>
          </w:p>
        </w:tc>
        <w:tc>
          <w:tcPr>
            <w:tcW w:w="100" w:type="dxa"/>
            <w:vAlign w:val="bottom"/>
            <w:gridSpan w:val="2"/>
          </w:tcPr>
          <w:p>
            <w:pPr>
              <w:spacing w:after="0"/>
              <w:rPr>
                <w:sz w:val="10"/>
                <w:szCs w:val="10"/>
                <w:color w:val="auto"/>
              </w:rPr>
            </w:pPr>
          </w:p>
        </w:tc>
      </w:tr>
      <w:tr>
        <w:trPr>
          <w:trHeight w:val="171"/>
        </w:trPr>
        <w:tc>
          <w:tcPr>
            <w:tcW w:w="24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Contracts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Contracts</w:t>
            </w: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r>
      <w:tr>
        <w:trPr>
          <w:trHeight w:val="142"/>
        </w:trPr>
        <w:tc>
          <w:tcPr>
            <w:tcW w:w="2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1,777</w:t>
            </w:r>
          </w:p>
        </w:tc>
        <w:tc>
          <w:tcPr>
            <w:tcW w:w="8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Principal deferment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4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ind w:left="216"/>
              <w:spacing w:after="0"/>
              <w:rPr>
                <w:sz w:val="20"/>
                <w:szCs w:val="20"/>
                <w:color w:val="auto"/>
              </w:rPr>
            </w:pPr>
            <w:r>
              <w:rPr>
                <w:rFonts w:ascii="Arial" w:cs="Arial" w:eastAsia="Arial" w:hAnsi="Arial"/>
                <w:sz w:val="14"/>
                <w:szCs w:val="14"/>
                <w:b w:val="1"/>
                <w:bCs w:val="1"/>
                <w:color w:val="auto"/>
                <w:w w:val="93"/>
              </w:rPr>
              <w:t>Three Months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Recorded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Recorded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Recorded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Recorded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Investment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Pre-Modification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Post-Modification</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Contracts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Pre-Modification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7"/>
          </w:tcPr>
          <w:p>
            <w:pPr>
              <w:jc w:val="center"/>
              <w:ind w:left="23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125</w:t>
            </w:r>
          </w:p>
        </w:tc>
        <w:tc>
          <w:tcPr>
            <w:tcW w:w="200" w:type="dxa"/>
            <w:vAlign w:val="bottom"/>
            <w:gridSpan w:val="3"/>
          </w:tcPr>
          <w:p>
            <w:pPr>
              <w:ind w:left="100"/>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Purchased portfolio:</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1,685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center"/>
              <w:ind w:left="156"/>
              <w:spacing w:after="0"/>
              <w:rPr>
                <w:sz w:val="20"/>
                <w:szCs w:val="20"/>
                <w:color w:val="auto"/>
              </w:rPr>
            </w:pPr>
            <w:r>
              <w:rPr>
                <w:rFonts w:ascii="Arial" w:cs="Arial" w:eastAsia="Arial" w:hAnsi="Arial"/>
                <w:sz w:val="14"/>
                <w:szCs w:val="14"/>
                <w:b w:val="1"/>
                <w:bCs w:val="1"/>
                <w:color w:val="auto"/>
                <w:w w:val="92"/>
              </w:rPr>
              <w:t>Six Months Ended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6"/>
              </w:rPr>
              <w:t>Recorded</w:t>
            </w:r>
          </w:p>
        </w:tc>
        <w:tc>
          <w:tcPr>
            <w:tcW w:w="2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Recorded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Investment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Contracts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Pre-Modification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Post-Modification</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Contracts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Pre-Modification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7"/>
          </w:tcPr>
          <w:p>
            <w:pPr>
              <w:jc w:val="center"/>
              <w:ind w:left="15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Purchased portfolio:</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considers TDRs past due 90 days or more to be in payment default. Three loans modified in a TDR in the last twelve months defaulted during the six months ended December 31, 2014; the recorded investment of such loans was $50 thousand. One loan modified in a TDR in the last twelve months</w:t>
      </w:r>
    </w:p>
    <w:p>
      <w:pPr>
        <w:sectPr>
          <w:pgSz w:w="11900" w:h="16838" w:orient="portrait"/>
          <w:cols w:equalWidth="0" w:num="1">
            <w:col w:w="11420"/>
          </w:cols>
          <w:pgMar w:left="240" w:top="118" w:right="239" w:bottom="0" w:gutter="0" w:footer="0" w:header="0"/>
          <w:type w:val="continuous"/>
        </w:sectPr>
      </w:pPr>
    </w:p>
    <w:bookmarkStart w:id="13" w:name="page14"/>
    <w:bookmarkEnd w:id="13"/>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defaulted during the three months ended December 31, 2014; the recorded investment of the loans was zero. As of December 31, 2014, there were no further commitments to lend associated with loans modified in a TDR.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loans accounted for under ASC 310-30 that were acquired by the Company during the period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December 31, 2014</w:t>
            </w:r>
          </w:p>
        </w:tc>
      </w:tr>
      <w:tr>
        <w:trPr>
          <w:trHeight w:val="142"/>
        </w:trPr>
        <w:tc>
          <w:tcPr>
            <w:tcW w:w="4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gridSpan w:val="4"/>
          </w:tcPr>
          <w:p>
            <w:pPr>
              <w:jc w:val="right"/>
              <w:ind w:right="119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66,662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87,770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8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(1,625)</w:t>
            </w: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(1,929)</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Accretable yield</w:t>
            </w:r>
          </w:p>
        </w:tc>
        <w:tc>
          <w:tcPr>
            <w:tcW w:w="18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(25,405)</w:t>
            </w: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(33,365)</w:t>
            </w:r>
          </w:p>
        </w:tc>
      </w:tr>
      <w:tr>
        <w:trPr>
          <w:trHeight w:val="21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Certain of the loans accounted for under ASC 310-30 that were acquired by the Company are not accounted for using the income recognition model because the Company cannot reasonably estimate cash flows expected to be collected. The carrying amounts of such loans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jc w:val="center"/>
              <w:ind w:right="262"/>
              <w:spacing w:after="0"/>
              <w:rPr>
                <w:sz w:val="20"/>
                <w:szCs w:val="20"/>
                <w:color w:val="auto"/>
              </w:rPr>
            </w:pPr>
            <w:r>
              <w:rPr>
                <w:rFonts w:ascii="Arial" w:cs="Arial" w:eastAsia="Arial" w:hAnsi="Arial"/>
                <w:sz w:val="14"/>
                <w:szCs w:val="14"/>
                <w:b w:val="1"/>
                <w:bCs w:val="1"/>
                <w:color w:val="auto"/>
                <w:w w:val="92"/>
              </w:rPr>
              <w:t>As of and for the Three</w:t>
            </w:r>
          </w:p>
        </w:tc>
        <w:tc>
          <w:tcPr>
            <w:tcW w:w="380" w:type="dxa"/>
            <w:vAlign w:val="bottom"/>
          </w:tcPr>
          <w:p>
            <w:pPr>
              <w:spacing w:after="0"/>
              <w:rPr>
                <w:sz w:val="14"/>
                <w:szCs w:val="14"/>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 and for the Six</w:t>
            </w:r>
          </w:p>
        </w:tc>
      </w:tr>
      <w:tr>
        <w:trPr>
          <w:trHeight w:val="149"/>
        </w:trPr>
        <w:tc>
          <w:tcPr>
            <w:tcW w:w="3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380" w:type="dxa"/>
            <w:vAlign w:val="bottom"/>
          </w:tcPr>
          <w:p>
            <w:pPr>
              <w:spacing w:after="0"/>
              <w:rPr>
                <w:sz w:val="12"/>
                <w:szCs w:val="12"/>
                <w:color w:val="auto"/>
              </w:rPr>
            </w:pPr>
          </w:p>
        </w:tc>
        <w:tc>
          <w:tcPr>
            <w:tcW w:w="1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Months Ended</w:t>
            </w:r>
          </w:p>
        </w:tc>
      </w:tr>
      <w:tr>
        <w:trPr>
          <w:trHeight w:val="171"/>
        </w:trPr>
        <w:tc>
          <w:tcPr>
            <w:tcW w:w="3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jc w:val="center"/>
              <w:ind w:right="242"/>
              <w:spacing w:after="0"/>
              <w:rPr>
                <w:sz w:val="20"/>
                <w:szCs w:val="20"/>
                <w:color w:val="auto"/>
              </w:rPr>
            </w:pPr>
            <w:r>
              <w:rPr>
                <w:rFonts w:ascii="Arial" w:cs="Arial" w:eastAsia="Arial" w:hAnsi="Arial"/>
                <w:sz w:val="14"/>
                <w:szCs w:val="14"/>
                <w:b w:val="1"/>
                <w:bCs w:val="1"/>
                <w:color w:val="auto"/>
                <w:w w:val="91"/>
              </w:rPr>
              <w:t>December 31, 2014</w:t>
            </w:r>
          </w:p>
        </w:tc>
        <w:tc>
          <w:tcPr>
            <w:tcW w:w="380" w:type="dxa"/>
            <w:vAlign w:val="bottom"/>
          </w:tcPr>
          <w:p>
            <w:pPr>
              <w:spacing w:after="0"/>
              <w:rPr>
                <w:sz w:val="14"/>
                <w:szCs w:val="14"/>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2014</w:t>
            </w:r>
          </w:p>
        </w:tc>
      </w:tr>
      <w:tr>
        <w:trPr>
          <w:trHeight w:val="142"/>
        </w:trPr>
        <w:tc>
          <w:tcPr>
            <w:tcW w:w="3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180" w:type="dxa"/>
            <w:vAlign w:val="bottom"/>
            <w:tcBorders>
              <w:top w:val="single" w:sz="8" w:color="auto"/>
            </w:tcBorders>
            <w:gridSpan w:val="3"/>
          </w:tcPr>
          <w:p>
            <w:pPr>
              <w:jc w:val="right"/>
              <w:ind w:right="142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Loans at end of period</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ind w:right="62"/>
              <w:spacing w:after="0"/>
              <w:rPr>
                <w:sz w:val="20"/>
                <w:szCs w:val="20"/>
                <w:color w:val="auto"/>
              </w:rPr>
            </w:pPr>
            <w:r>
              <w:rPr>
                <w:rFonts w:ascii="Arial" w:cs="Arial" w:eastAsia="Arial" w:hAnsi="Arial"/>
                <w:sz w:val="18"/>
                <w:szCs w:val="18"/>
                <w:color w:val="auto"/>
              </w:rPr>
              <w:t>7,697</w:t>
            </w:r>
          </w:p>
        </w:tc>
        <w:tc>
          <w:tcPr>
            <w:tcW w:w="380" w:type="dxa"/>
            <w:vAlign w:val="bottom"/>
          </w:tcPr>
          <w:p>
            <w:pPr>
              <w:spacing w:after="0"/>
              <w:rPr>
                <w:sz w:val="20"/>
                <w:szCs w:val="20"/>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11,984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the accretable yield for loans accounted for under ASC 310-30.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December 31, 2014</w:t>
            </w:r>
          </w:p>
        </w:tc>
      </w:tr>
      <w:tr>
        <w:trPr>
          <w:trHeight w:val="142"/>
        </w:trPr>
        <w:tc>
          <w:tcPr>
            <w:tcW w:w="3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gridSpan w:val="5"/>
          </w:tcPr>
          <w:p>
            <w:pPr>
              <w:jc w:val="right"/>
              <w:ind w:right="141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gridSpan w:val="2"/>
          </w:tcPr>
          <w:p>
            <w:pPr>
              <w:spacing w:after="0"/>
              <w:rPr>
                <w:sz w:val="12"/>
                <w:szCs w:val="12"/>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108,352</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109,040</w:t>
            </w: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Acquisitions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25,405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33,365</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(8,729)</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Reclassifications to accretable yield</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(10,411)</w:t>
            </w: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End balance</w:t>
            </w:r>
          </w:p>
        </w:tc>
        <w:tc>
          <w:tcPr>
            <w:tcW w:w="6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123,275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December 31, 2014</w:t>
            </w:r>
          </w:p>
        </w:tc>
        <w:tc>
          <w:tcPr>
            <w:tcW w:w="30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2014</w:t>
            </w: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720" w:type="dxa"/>
            <w:vAlign w:val="bottom"/>
            <w:tcBorders>
              <w:top w:val="single" w:sz="8" w:color="auto"/>
            </w:tcBorders>
            <w:gridSpan w:val="4"/>
          </w:tcPr>
          <w:p>
            <w:pPr>
              <w:jc w:val="right"/>
              <w:ind w:right="119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259,588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239,376</w:t>
            </w: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Carrying amount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218,049</w:t>
            </w:r>
          </w:p>
        </w:tc>
        <w:tc>
          <w:tcPr>
            <w:tcW w:w="2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ind w:left="940"/>
              <w:spacing w:after="0" w:line="196" w:lineRule="exact"/>
              <w:rPr>
                <w:sz w:val="20"/>
                <w:szCs w:val="20"/>
                <w:color w:val="auto"/>
              </w:rPr>
            </w:pPr>
            <w:r>
              <w:rPr>
                <w:rFonts w:ascii="Arial" w:cs="Arial" w:eastAsia="Arial" w:hAnsi="Arial"/>
                <w:sz w:val="18"/>
                <w:szCs w:val="18"/>
                <w:color w:val="auto"/>
                <w:w w:val="86"/>
              </w:rPr>
              <w:t>201,171</w:t>
            </w:r>
          </w:p>
        </w:tc>
        <w:tc>
          <w:tcPr>
            <w:tcW w:w="120" w:type="dxa"/>
            <w:vAlign w:val="bottom"/>
            <w:vMerge w:val="continue"/>
          </w:tcPr>
          <w:p>
            <w:pPr>
              <w:spacing w:after="0"/>
              <w:rPr>
                <w:sz w:val="17"/>
                <w:szCs w:val="17"/>
                <w:color w:val="auto"/>
              </w:rPr>
            </w:pP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85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8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6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 December 31,</w:t>
            </w:r>
          </w:p>
        </w:tc>
      </w:tr>
      <w:tr>
        <w:trPr>
          <w:trHeight w:val="142"/>
        </w:trPr>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40" w:type="dxa"/>
            <w:vAlign w:val="bottom"/>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(Dollars in thousands, except share and per share data)</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w:t>
            </w:r>
          </w:p>
        </w:tc>
        <w:tc>
          <w:tcPr>
            <w:tcW w:w="5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1,393</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8"/>
                <w:szCs w:val="18"/>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w w:val="94"/>
              </w:rPr>
              <w:t>Weighted average shares used in calculation of basic EPS</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10,132,349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10,432,833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10,155,598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10,436,673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Incremental shares from assumed exercise of dilutive</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Weighted average shares used in calculation of diluted EPS</w:t>
            </w: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10,132,349</w:t>
            </w: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10,432,833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10,155,598</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10,436,673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4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Earnings per common share:</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Earnings per common share</w:t>
            </w: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4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ectPr>
          <w:pgSz w:w="11900" w:h="16900" w:orient="portrait"/>
          <w:cols w:equalWidth="0" w:num="1">
            <w:col w:w="11460"/>
          </w:cols>
          <w:pgMar w:left="240" w:top="125" w:right="199" w:bottom="0" w:gutter="0" w:footer="0" w:header="0"/>
        </w:sectPr>
      </w:pPr>
    </w:p>
    <w:bookmarkStart w:id="14" w:name="page15"/>
    <w:bookmarkEnd w:id="14"/>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3073400</wp:posOffset>
            </wp:positionH>
            <wp:positionV relativeFrom="page">
              <wp:posOffset>88900</wp:posOffset>
            </wp:positionV>
            <wp:extent cx="40132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13200" cy="17145"/>
                    </a:xfrm>
                    <a:prstGeom prst="rect">
                      <a:avLst/>
                    </a:prstGeom>
                    <a:noFill/>
                  </pic:spPr>
                </pic:pic>
              </a:graphicData>
            </a:graphic>
          </wp:anchor>
        </w:drawing>
        <w:t>For the three and six months ended December 31, 2014, the following stock options and warrants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330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December 31,</w:t>
            </w:r>
          </w:p>
        </w:tc>
        <w:tc>
          <w:tcPr>
            <w:tcW w:w="3160" w:type="dxa"/>
            <w:vAlign w:val="bottom"/>
            <w:gridSpan w:val="4"/>
          </w:tcPr>
          <w:p>
            <w:pPr>
              <w:ind w:left="520"/>
              <w:spacing w:after="0"/>
              <w:rPr>
                <w:sz w:val="20"/>
                <w:szCs w:val="20"/>
                <w:color w:val="auto"/>
              </w:rPr>
            </w:pPr>
            <w:r>
              <w:rPr>
                <w:rFonts w:ascii="Arial" w:cs="Arial" w:eastAsia="Arial" w:hAnsi="Arial"/>
                <w:sz w:val="14"/>
                <w:szCs w:val="14"/>
                <w:b w:val="1"/>
                <w:bCs w:val="1"/>
                <w:color w:val="auto"/>
              </w:rPr>
              <w:t>Six Months Ended December 31,</w:t>
            </w:r>
          </w:p>
        </w:tc>
        <w:tc>
          <w:tcPr>
            <w:tcW w:w="1940" w:type="dxa"/>
            <w:vAlign w:val="bottom"/>
          </w:tcPr>
          <w:p>
            <w:pPr>
              <w:spacing w:after="0"/>
              <w:rPr>
                <w:sz w:val="14"/>
                <w:szCs w:val="14"/>
                <w:color w:val="auto"/>
              </w:rPr>
            </w:pPr>
          </w:p>
        </w:tc>
      </w:tr>
      <w:tr>
        <w:trPr>
          <w:trHeight w:val="142"/>
        </w:trPr>
        <w:tc>
          <w:tcPr>
            <w:tcW w:w="30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1940" w:type="dxa"/>
            <w:vAlign w:val="bottom"/>
          </w:tcPr>
          <w:p>
            <w:pPr>
              <w:spacing w:after="0"/>
              <w:rPr>
                <w:sz w:val="12"/>
                <w:szCs w:val="12"/>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1,086,599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1,136,080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1,105,694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1,151,442</w:t>
            </w:r>
          </w:p>
        </w:tc>
        <w:tc>
          <w:tcPr>
            <w:tcW w:w="12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Warrants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18"/>
                <w:szCs w:val="18"/>
                <w:color w:val="auto"/>
              </w:rPr>
            </w:pPr>
          </w:p>
        </w:tc>
      </w:tr>
      <w:tr>
        <w:trPr>
          <w:trHeight w:val="210"/>
        </w:trPr>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1,086,599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1,151,442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3"/>
        </w:trPr>
        <w:tc>
          <w:tcPr>
            <w:tcW w:w="3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32"/>
        </w:trPr>
        <w:tc>
          <w:tcPr>
            <w:tcW w:w="30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42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Transfers</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 xml:space="preserve">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00" w:right="12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xml:space="preserve"> ,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160"/>
        <w:spacing w:after="0" w:line="27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The valuation of the Company’s interest rate swaps and caps are determined using widely accepted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73" w:lineRule="exact"/>
        <w:rPr>
          <w:sz w:val="20"/>
          <w:szCs w:val="20"/>
          <w:color w:val="auto"/>
        </w:rPr>
      </w:pPr>
    </w:p>
    <w:p>
      <w:pPr>
        <w:jc w:val="both"/>
        <w:ind w:left="500" w:right="3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500" w:right="240"/>
        <w:spacing w:after="0" w:line="342" w:lineRule="auto"/>
        <w:rPr>
          <w:sz w:val="20"/>
          <w:szCs w:val="20"/>
          <w:color w:val="auto"/>
        </w:rPr>
      </w:pPr>
      <w:r>
        <w:rPr>
          <w:rFonts w:ascii="Arial" w:cs="Arial" w:eastAsia="Arial" w:hAnsi="Arial"/>
          <w:sz w:val="16"/>
          <w:szCs w:val="16"/>
          <w:i w:val="1"/>
          <w:iCs w:val="1"/>
          <w:color w:val="auto"/>
        </w:rPr>
        <w:t>Collateral Dependent Impaired Loans</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68" w:right="199" w:bottom="59" w:gutter="0" w:footer="0" w:header="0"/>
        </w:sectPr>
      </w:pPr>
    </w:p>
    <w:bookmarkStart w:id="15" w:name="page16"/>
    <w:bookmarkEnd w:id="15"/>
    <w:p>
      <w:pPr>
        <w:jc w:val="both"/>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FHLB overnight deposits approximates their relative</w:t>
      </w:r>
      <w:r>
        <w:rPr>
          <w:rFonts w:ascii="Arial" w:cs="Arial" w:eastAsia="Arial" w:hAnsi="Arial"/>
          <w:sz w:val="18"/>
          <w:szCs w:val="18"/>
          <w:i w:val="1"/>
          <w:iCs w:val="1"/>
          <w:color w:val="auto"/>
        </w:rPr>
        <w:t xml:space="preserve"> </w:t>
      </w:r>
      <w:r>
        <w:rPr>
          <w:rFonts w:ascii="Arial" w:cs="Arial" w:eastAsia="Arial" w:hAnsi="Arial"/>
          <w:sz w:val="18"/>
          <w:szCs w:val="18"/>
          <w:color w:val="auto"/>
        </w:rPr>
        <w:t>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 stock </w:t>
      </w:r>
      <w:r>
        <w:rPr>
          <w:rFonts w:ascii="Arial" w:cs="Arial" w:eastAsia="Arial" w:hAnsi="Arial"/>
          <w:sz w:val="18"/>
          <w:szCs w:val="18"/>
          <w:color w:val="auto"/>
        </w:rPr>
        <w:t>- The carrying value of FHLB stock approximates fair value based on redemption provisions of the FHLB.</w:t>
      </w:r>
    </w:p>
    <w:p>
      <w:pPr>
        <w:spacing w:after="0" w:line="225" w:lineRule="exact"/>
        <w:rPr>
          <w:sz w:val="20"/>
          <w:szCs w:val="20"/>
          <w:color w:val="auto"/>
        </w:rPr>
      </w:pPr>
    </w:p>
    <w:p>
      <w:pPr>
        <w:ind w:left="500" w:right="440"/>
        <w:spacing w:after="0" w:line="302" w:lineRule="auto"/>
        <w:rPr>
          <w:sz w:val="20"/>
          <w:szCs w:val="20"/>
          <w:color w:val="auto"/>
        </w:rPr>
      </w:pPr>
      <w:r>
        <w:rPr>
          <w:rFonts w:ascii="Arial" w:cs="Arial" w:eastAsia="Arial" w:hAnsi="Arial"/>
          <w:sz w:val="16"/>
          <w:szCs w:val="16"/>
          <w:i w:val="1"/>
          <w:iCs w:val="1"/>
          <w:color w:val="auto"/>
        </w:rPr>
        <w:t>Loans</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w:t>
      </w:r>
    </w:p>
    <w:p>
      <w:pPr>
        <w:spacing w:after="0" w:line="181"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ind w:left="500" w:right="180"/>
        <w:spacing w:after="0" w:line="259"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 The fair value of the Company’s borrowings with the FHLB is estimated by discounting the cash flows through maturity or the next 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87"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Off-Balance Sheet Credit-Related Instruments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left="578"/>
              <w:spacing w:after="0"/>
              <w:rPr>
                <w:sz w:val="20"/>
                <w:szCs w:val="20"/>
                <w:color w:val="auto"/>
              </w:rPr>
            </w:pPr>
            <w:r>
              <w:rPr>
                <w:rFonts w:ascii="Arial" w:cs="Arial" w:eastAsia="Arial" w:hAnsi="Arial"/>
                <w:sz w:val="14"/>
                <w:szCs w:val="14"/>
                <w:b w:val="1"/>
                <w:bCs w:val="1"/>
                <w:color w:val="auto"/>
                <w:w w:val="91"/>
              </w:rPr>
              <w:t>December 31, 2014</w:t>
            </w: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gridSpan w:val="3"/>
          </w:tcPr>
          <w:p>
            <w:pPr>
              <w:jc w:val="center"/>
              <w:ind w:right="31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24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U.S. Government agency securities</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48,317</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48,317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w w:val="95"/>
              </w:rPr>
              <w:t>Agency mortgage-backed securities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59,524</w:t>
            </w:r>
          </w:p>
        </w:tc>
        <w:tc>
          <w:tcPr>
            <w:tcW w:w="420" w:type="dxa"/>
            <w:vAlign w:val="bottom"/>
          </w:tcPr>
          <w:p>
            <w:pPr>
              <w:spacing w:after="0"/>
              <w:rPr>
                <w:sz w:val="18"/>
                <w:szCs w:val="18"/>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59,524</w:t>
            </w:r>
          </w:p>
        </w:tc>
        <w:tc>
          <w:tcPr>
            <w:tcW w:w="420" w:type="dxa"/>
            <w:vAlign w:val="bottom"/>
          </w:tcPr>
          <w:p>
            <w:pPr>
              <w:spacing w:after="0"/>
              <w:rPr>
                <w:sz w:val="18"/>
                <w:szCs w:val="18"/>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Other liabilities — interest rate swaps</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1,411</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1,411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78"/>
              <w:spacing w:after="0"/>
              <w:rPr>
                <w:sz w:val="20"/>
                <w:szCs w:val="20"/>
                <w:color w:val="auto"/>
              </w:rPr>
            </w:pPr>
            <w:r>
              <w:rPr>
                <w:rFonts w:ascii="Arial" w:cs="Arial" w:eastAsia="Arial" w:hAnsi="Arial"/>
                <w:sz w:val="14"/>
                <w:szCs w:val="14"/>
                <w:b w:val="1"/>
                <w:bCs w:val="1"/>
                <w:color w:val="auto"/>
                <w:w w:val="92"/>
              </w:rPr>
              <w:t>June 30, 2014</w:t>
            </w: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gridSpan w:val="3"/>
          </w:tcPr>
          <w:p>
            <w:pPr>
              <w:jc w:val="center"/>
              <w:ind w:right="31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24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U.S. Government agency securities</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48,418</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48,418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w w:val="95"/>
              </w:rPr>
              <w:t>Agency mortgage-backed securities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65,463</w:t>
            </w:r>
          </w:p>
        </w:tc>
        <w:tc>
          <w:tcPr>
            <w:tcW w:w="420" w:type="dxa"/>
            <w:vAlign w:val="bottom"/>
          </w:tcPr>
          <w:p>
            <w:pPr>
              <w:spacing w:after="0"/>
              <w:rPr>
                <w:sz w:val="18"/>
                <w:szCs w:val="18"/>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65,463</w:t>
            </w:r>
          </w:p>
        </w:tc>
        <w:tc>
          <w:tcPr>
            <w:tcW w:w="420" w:type="dxa"/>
            <w:vAlign w:val="bottom"/>
          </w:tcPr>
          <w:p>
            <w:pPr>
              <w:spacing w:after="0"/>
              <w:rPr>
                <w:sz w:val="18"/>
                <w:szCs w:val="18"/>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Other liabilities — interest rate swap</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714</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714</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left="584"/>
              <w:spacing w:after="0"/>
              <w:rPr>
                <w:sz w:val="20"/>
                <w:szCs w:val="20"/>
                <w:color w:val="auto"/>
              </w:rPr>
            </w:pPr>
            <w:r>
              <w:rPr>
                <w:rFonts w:ascii="Arial" w:cs="Arial" w:eastAsia="Arial" w:hAnsi="Arial"/>
                <w:sz w:val="14"/>
                <w:szCs w:val="14"/>
                <w:b w:val="1"/>
                <w:bCs w:val="1"/>
                <w:color w:val="auto"/>
                <w:w w:val="91"/>
              </w:rPr>
              <w:t>December 31, 2014</w:t>
            </w: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r>
      <w:tr>
        <w:trPr>
          <w:trHeight w:val="142"/>
        </w:trPr>
        <w:tc>
          <w:tcPr>
            <w:tcW w:w="2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gridSpan w:val="3"/>
          </w:tcPr>
          <w:p>
            <w:pPr>
              <w:jc w:val="center"/>
              <w:ind w:right="31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7"/>
              </w:rPr>
              <w:t>Collateral dependent impaired loans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978</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w:t>
            </w: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Real estate owned and other</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repossessed collateral</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2,058</w:t>
            </w:r>
          </w:p>
        </w:tc>
        <w:tc>
          <w:tcPr>
            <w:tcW w:w="42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60" w:type="dxa"/>
            <w:vAlign w:val="bottom"/>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2,058</w:t>
            </w:r>
          </w:p>
        </w:tc>
      </w:tr>
      <w:tr>
        <w:trPr>
          <w:trHeight w:val="365"/>
        </w:trPr>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84"/>
              <w:spacing w:after="0"/>
              <w:rPr>
                <w:sz w:val="20"/>
                <w:szCs w:val="20"/>
                <w:color w:val="auto"/>
              </w:rPr>
            </w:pPr>
            <w:r>
              <w:rPr>
                <w:rFonts w:ascii="Arial" w:cs="Arial" w:eastAsia="Arial" w:hAnsi="Arial"/>
                <w:sz w:val="14"/>
                <w:szCs w:val="14"/>
                <w:b w:val="1"/>
                <w:bCs w:val="1"/>
                <w:color w:val="auto"/>
                <w:w w:val="92"/>
              </w:rPr>
              <w:t>June 30, 2014</w:t>
            </w: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r>
      <w:tr>
        <w:trPr>
          <w:trHeight w:val="144"/>
        </w:trPr>
        <w:tc>
          <w:tcPr>
            <w:tcW w:w="2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gridSpan w:val="3"/>
          </w:tcPr>
          <w:p>
            <w:pPr>
              <w:jc w:val="center"/>
              <w:ind w:right="319"/>
              <w:spacing w:after="0" w:line="144" w:lineRule="exact"/>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3758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758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tabs>
          <w:tab w:leader="none" w:pos="3060" w:val="left"/>
          <w:tab w:leader="none" w:pos="4020" w:val="left"/>
          <w:tab w:leader="none" w:pos="4700" w:val="left"/>
          <w:tab w:leader="none" w:pos="5880" w:val="left"/>
          <w:tab w:leader="none" w:pos="6340" w:val="left"/>
          <w:tab w:leader="none" w:pos="7540" w:val="left"/>
          <w:tab w:leader="none" w:pos="8000" w:val="left"/>
          <w:tab w:leader="none" w:pos="8960" w:val="left"/>
        </w:tabs>
        <w:rPr>
          <w:sz w:val="20"/>
          <w:szCs w:val="20"/>
          <w:color w:val="auto"/>
        </w:rPr>
      </w:pPr>
      <w:r>
        <w:rPr>
          <w:rFonts w:ascii="Arial" w:cs="Arial" w:eastAsia="Arial" w:hAnsi="Arial"/>
          <w:sz w:val="18"/>
          <w:szCs w:val="18"/>
          <w:color w:val="auto"/>
        </w:rPr>
        <w:t>Collateral dependent impaired loans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1,467</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1,467</w:t>
      </w:r>
    </w:p>
    <w:p>
      <w:pPr>
        <w:sectPr>
          <w:pgSz w:w="11900" w:h="16838" w:orient="portrait"/>
          <w:cols w:equalWidth="0" w:num="1">
            <w:col w:w="11420"/>
          </w:cols>
          <w:pgMar w:left="240" w:top="125" w:right="239" w:bottom="0" w:gutter="0" w:footer="0" w:header="0"/>
          <w:type w:val="continuous"/>
        </w:sectPr>
      </w:pPr>
    </w:p>
    <w:bookmarkStart w:id="16" w:name="page17"/>
    <w:bookmarkEnd w:id="16"/>
    <w:p>
      <w:pPr>
        <w:ind w:left="180" w:right="1960" w:hanging="179"/>
        <w:spacing w:after="0" w:line="258" w:lineRule="auto"/>
        <w:rPr>
          <w:sz w:val="20"/>
          <w:szCs w:val="20"/>
          <w:color w:val="auto"/>
        </w:rPr>
      </w:pPr>
      <w:r>
        <w:rPr>
          <w:rFonts w:ascii="Arial" w:cs="Arial" w:eastAsia="Arial" w:hAnsi="Arial"/>
          <w:sz w:val="18"/>
          <w:szCs w:val="18"/>
          <w:color w:val="auto"/>
        </w:rPr>
        <w:t>Real estate owned and other</w:t>
      </w:r>
      <w:r>
        <w:rPr>
          <w:sz w:val="20"/>
          <w:szCs w:val="20"/>
          <w:color w:val="auto"/>
        </w:rPr>
        <w:t xml:space="preserve"> </w:t>
      </w:r>
      <w:r>
        <w:rPr>
          <w:rFonts w:ascii="Arial" w:cs="Arial" w:eastAsia="Arial" w:hAnsi="Arial"/>
          <w:sz w:val="18"/>
          <w:szCs w:val="18"/>
          <w:color w:val="auto"/>
        </w:rPr>
        <w:t>1,991 — — 1,991 repossessed collateral</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92"/>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Fair Value Measurements at December 31, 2014</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72"/>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156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83,269</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83,269</w:t>
            </w:r>
          </w:p>
        </w:tc>
        <w:tc>
          <w:tcPr>
            <w:tcW w:w="4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83,269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107,841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107,841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Federal Home Loan Bank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4,102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4,102</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4,102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5,159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573,671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575,858</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575,858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1,136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4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631,720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632,098</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632,098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FHLB advances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35,244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36,031</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36,031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Wholesale repurchase agreements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10,177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10,292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2,775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2,775</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2,775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1,563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8,530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8,521</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1,411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212"/>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Fair Value Measurements at June 30, 2014</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12"/>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156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82,259</w:t>
            </w: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82,259</w:t>
            </w:r>
          </w:p>
        </w:tc>
        <w:tc>
          <w:tcPr>
            <w:tcW w:w="4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82,259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113,881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113,881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Federal Home Loan Bank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4,102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4,102</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4,102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11,945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11,945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515,049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522,154</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4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574,329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574,868</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574,868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FHLB advances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42,824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43,843</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43,843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Wholesale repurchase agreements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10,199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10,484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2,984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2,984</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2,984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1,701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8,440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7,858</w:t>
            </w:r>
          </w:p>
        </w:tc>
        <w:tc>
          <w:tcPr>
            <w:tcW w:w="4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13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seeks to manage the credit risk of its financial contracts through credit approvals, limits and monitoring procedures, and does not expect any counterparties to fail to meet their obligations.</w:t>
      </w:r>
    </w:p>
    <w:p>
      <w:pPr>
        <w:spacing w:after="0" w:line="7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December 31, 2014, the Company had posted cash collateral totaling $3.3 million with dealer banks related to derivative instruments in a net liability position.</w:t>
      </w:r>
    </w:p>
    <w:p>
      <w:pPr>
        <w:spacing w:after="0" w:line="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 — Derivative Instruments</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 — Cash Flow Hedging Instruments</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w:t>
      </w:r>
    </w:p>
    <w:p>
      <w:pPr>
        <w:sectPr>
          <w:pgSz w:w="11900" w:h="16838" w:orient="portrait"/>
          <w:cols w:equalWidth="0" w:num="1">
            <w:col w:w="11360"/>
          </w:cols>
          <w:pgMar w:left="240" w:top="125" w:right="299" w:bottom="1" w:gutter="0" w:footer="0" w:header="0"/>
        </w:sectPr>
      </w:pP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December 31, 2014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ind w:left="220"/>
              <w:spacing w:after="0" w:line="121" w:lineRule="exact"/>
              <w:rPr>
                <w:sz w:val="20"/>
                <w:szCs w:val="20"/>
                <w:color w:val="auto"/>
              </w:rPr>
            </w:pPr>
            <w:r>
              <w:rPr>
                <w:rFonts w:ascii="Arial" w:cs="Arial" w:eastAsia="Arial" w:hAnsi="Arial"/>
                <w:sz w:val="12"/>
                <w:szCs w:val="12"/>
                <w:b w:val="1"/>
                <w:bCs w:val="1"/>
                <w:color w:val="auto"/>
              </w:rPr>
              <w:t>Notional</w:t>
            </w:r>
          </w:p>
        </w:tc>
        <w:tc>
          <w:tcPr>
            <w:tcW w:w="13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422"/>
              <w:spacing w:after="0" w:line="121" w:lineRule="exact"/>
              <w:rPr>
                <w:sz w:val="20"/>
                <w:szCs w:val="20"/>
                <w:color w:val="auto"/>
              </w:rPr>
            </w:pPr>
            <w:r>
              <w:rPr>
                <w:rFonts w:ascii="Arial" w:cs="Arial" w:eastAsia="Arial" w:hAnsi="Arial"/>
                <w:sz w:val="12"/>
                <w:szCs w:val="12"/>
                <w:b w:val="1"/>
                <w:bCs w:val="1"/>
                <w:color w:val="auto"/>
              </w:rPr>
              <w:t>Termination</w:t>
            </w:r>
          </w:p>
        </w:tc>
        <w:tc>
          <w:tcPr>
            <w:tcW w:w="8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02"/>
              <w:spacing w:after="0" w:line="121" w:lineRule="exact"/>
              <w:rPr>
                <w:sz w:val="20"/>
                <w:szCs w:val="20"/>
                <w:color w:val="auto"/>
              </w:rPr>
            </w:pPr>
            <w:r>
              <w:rPr>
                <w:rFonts w:ascii="Arial" w:cs="Arial" w:eastAsia="Arial" w:hAnsi="Arial"/>
                <w:sz w:val="12"/>
                <w:szCs w:val="12"/>
                <w:b w:val="1"/>
                <w:bCs w:val="1"/>
                <w:color w:val="auto"/>
              </w:rPr>
              <w:t>Receive</w:t>
            </w:r>
          </w:p>
        </w:tc>
        <w:tc>
          <w:tcPr>
            <w:tcW w:w="700" w:type="dxa"/>
            <w:vAlign w:val="bottom"/>
            <w:tcBorders>
              <w:top w:val="single" w:sz="8" w:color="auto"/>
            </w:tcBorders>
          </w:tcPr>
          <w:p>
            <w:pPr>
              <w:jc w:val="right"/>
              <w:ind w:right="362"/>
              <w:spacing w:after="0" w:line="121" w:lineRule="exact"/>
              <w:rPr>
                <w:sz w:val="20"/>
                <w:szCs w:val="20"/>
                <w:color w:val="auto"/>
              </w:rPr>
            </w:pPr>
            <w:r>
              <w:rPr>
                <w:rFonts w:ascii="Arial" w:cs="Arial" w:eastAsia="Arial" w:hAnsi="Arial"/>
                <w:sz w:val="12"/>
                <w:szCs w:val="12"/>
                <w:b w:val="1"/>
                <w:bCs w:val="1"/>
                <w:color w:val="auto"/>
              </w:rPr>
              <w:t>Pay</w:t>
            </w:r>
          </w:p>
        </w:tc>
        <w:tc>
          <w:tcPr>
            <w:tcW w:w="880" w:type="dxa"/>
            <w:vAlign w:val="bottom"/>
            <w:tcBorders>
              <w:top w:val="single" w:sz="8" w:color="auto"/>
            </w:tcBorders>
          </w:tcPr>
          <w:p>
            <w:pPr>
              <w:ind w:left="140"/>
              <w:spacing w:after="0" w:line="121" w:lineRule="exact"/>
              <w:rPr>
                <w:sz w:val="20"/>
                <w:szCs w:val="20"/>
                <w:color w:val="auto"/>
              </w:rPr>
            </w:pPr>
            <w:r>
              <w:rPr>
                <w:rFonts w:ascii="Arial" w:cs="Arial" w:eastAsia="Arial" w:hAnsi="Arial"/>
                <w:sz w:val="12"/>
                <w:szCs w:val="12"/>
                <w:b w:val="1"/>
                <w:bCs w:val="1"/>
                <w:color w:val="auto"/>
              </w:rPr>
              <w:t>Strike</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jc w:val="right"/>
              <w:ind w:right="259"/>
              <w:spacing w:after="0" w:line="121" w:lineRule="exact"/>
              <w:rPr>
                <w:sz w:val="20"/>
                <w:szCs w:val="20"/>
                <w:color w:val="auto"/>
              </w:rPr>
            </w:pPr>
            <w:r>
              <w:rPr>
                <w:rFonts w:ascii="Arial" w:cs="Arial" w:eastAsia="Arial" w:hAnsi="Arial"/>
                <w:sz w:val="12"/>
                <w:szCs w:val="12"/>
                <w:b w:val="1"/>
                <w:bCs w:val="1"/>
                <w:color w:val="auto"/>
                <w:w w:val="90"/>
              </w:rPr>
              <w:t>Unrealized Gain</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
              <w:spacing w:after="0" w:line="121" w:lineRule="exact"/>
              <w:rPr>
                <w:sz w:val="20"/>
                <w:szCs w:val="20"/>
                <w:color w:val="auto"/>
              </w:rPr>
            </w:pPr>
            <w:r>
              <w:rPr>
                <w:rFonts w:ascii="Arial" w:cs="Arial" w:eastAsia="Arial" w:hAnsi="Arial"/>
                <w:sz w:val="12"/>
                <w:szCs w:val="12"/>
                <w:b w:val="1"/>
                <w:bCs w:val="1"/>
                <w:color w:val="auto"/>
                <w:w w:val="85"/>
              </w:rPr>
              <w:t>Balance Sheet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00" w:type="dxa"/>
            <w:vAlign w:val="bottom"/>
          </w:tcPr>
          <w:p>
            <w:pPr>
              <w:spacing w:after="0"/>
              <w:rPr>
                <w:sz w:val="12"/>
                <w:szCs w:val="12"/>
                <w:color w:val="auto"/>
              </w:rPr>
            </w:pPr>
          </w:p>
        </w:tc>
        <w:tc>
          <w:tcPr>
            <w:tcW w:w="1360" w:type="dxa"/>
            <w:vAlign w:val="bottom"/>
            <w:gridSpan w:val="3"/>
          </w:tcPr>
          <w:p>
            <w:pPr>
              <w:ind w:left="220"/>
              <w:spacing w:after="0"/>
              <w:rPr>
                <w:sz w:val="20"/>
                <w:szCs w:val="20"/>
                <w:color w:val="auto"/>
              </w:rPr>
            </w:pPr>
            <w:r>
              <w:rPr>
                <w:rFonts w:ascii="Arial" w:cs="Arial" w:eastAsia="Arial" w:hAnsi="Arial"/>
                <w:sz w:val="12"/>
                <w:szCs w:val="12"/>
                <w:b w:val="1"/>
                <w:bCs w:val="1"/>
                <w:color w:val="auto"/>
              </w:rPr>
              <w:t>Amount</w:t>
            </w:r>
          </w:p>
        </w:tc>
        <w:tc>
          <w:tcPr>
            <w:tcW w:w="1320" w:type="dxa"/>
            <w:vAlign w:val="bottom"/>
          </w:tcPr>
          <w:p>
            <w:pPr>
              <w:jc w:val="right"/>
              <w:ind w:right="382"/>
              <w:spacing w:after="0"/>
              <w:rPr>
                <w:sz w:val="20"/>
                <w:szCs w:val="20"/>
                <w:color w:val="auto"/>
              </w:rPr>
            </w:pPr>
            <w:r>
              <w:rPr>
                <w:rFonts w:ascii="Arial" w:cs="Arial" w:eastAsia="Arial" w:hAnsi="Arial"/>
                <w:sz w:val="12"/>
                <w:szCs w:val="12"/>
                <w:b w:val="1"/>
                <w:bCs w:val="1"/>
                <w:color w:val="auto"/>
              </w:rPr>
              <w:t>Inception Date</w:t>
            </w:r>
          </w:p>
        </w:tc>
        <w:tc>
          <w:tcPr>
            <w:tcW w:w="1260" w:type="dxa"/>
            <w:vAlign w:val="bottom"/>
          </w:tcPr>
          <w:p>
            <w:pPr>
              <w:jc w:val="right"/>
              <w:ind w:right="602"/>
              <w:spacing w:after="0"/>
              <w:rPr>
                <w:sz w:val="20"/>
                <w:szCs w:val="20"/>
                <w:color w:val="auto"/>
              </w:rPr>
            </w:pPr>
            <w:r>
              <w:rPr>
                <w:rFonts w:ascii="Arial" w:cs="Arial" w:eastAsia="Arial" w:hAnsi="Arial"/>
                <w:sz w:val="12"/>
                <w:szCs w:val="12"/>
                <w:b w:val="1"/>
                <w:bCs w:val="1"/>
                <w:color w:val="auto"/>
              </w:rPr>
              <w:t>Date</w:t>
            </w:r>
          </w:p>
        </w:tc>
        <w:tc>
          <w:tcPr>
            <w:tcW w:w="860" w:type="dxa"/>
            <w:vAlign w:val="bottom"/>
          </w:tcPr>
          <w:p>
            <w:pPr>
              <w:jc w:val="center"/>
              <w:ind w:left="22"/>
              <w:spacing w:after="0"/>
              <w:rPr>
                <w:sz w:val="20"/>
                <w:szCs w:val="20"/>
                <w:color w:val="auto"/>
              </w:rPr>
            </w:pPr>
            <w:r>
              <w:rPr>
                <w:rFonts w:ascii="Arial" w:cs="Arial" w:eastAsia="Arial" w:hAnsi="Arial"/>
                <w:sz w:val="12"/>
                <w:szCs w:val="12"/>
                <w:b w:val="1"/>
                <w:bCs w:val="1"/>
                <w:color w:val="auto"/>
                <w:w w:val="95"/>
              </w:rPr>
              <w:t>Index</w:t>
            </w:r>
          </w:p>
        </w:tc>
        <w:tc>
          <w:tcPr>
            <w:tcW w:w="1180" w:type="dxa"/>
            <w:vAlign w:val="bottom"/>
          </w:tcPr>
          <w:p>
            <w:pPr>
              <w:jc w:val="right"/>
              <w:ind w:right="382"/>
              <w:spacing w:after="0"/>
              <w:rPr>
                <w:sz w:val="20"/>
                <w:szCs w:val="20"/>
                <w:color w:val="auto"/>
              </w:rPr>
            </w:pPr>
            <w:r>
              <w:rPr>
                <w:rFonts w:ascii="Arial" w:cs="Arial" w:eastAsia="Arial" w:hAnsi="Arial"/>
                <w:sz w:val="12"/>
                <w:szCs w:val="12"/>
                <w:b w:val="1"/>
                <w:bCs w:val="1"/>
                <w:color w:val="auto"/>
              </w:rPr>
              <w:t>Rate</w:t>
            </w:r>
          </w:p>
        </w:tc>
        <w:tc>
          <w:tcPr>
            <w:tcW w:w="700" w:type="dxa"/>
            <w:vAlign w:val="bottom"/>
          </w:tcPr>
          <w:p>
            <w:pPr>
              <w:jc w:val="right"/>
              <w:ind w:right="342"/>
              <w:spacing w:after="0"/>
              <w:rPr>
                <w:sz w:val="20"/>
                <w:szCs w:val="20"/>
                <w:color w:val="auto"/>
              </w:rPr>
            </w:pPr>
            <w:r>
              <w:rPr>
                <w:rFonts w:ascii="Arial" w:cs="Arial" w:eastAsia="Arial" w:hAnsi="Arial"/>
                <w:sz w:val="12"/>
                <w:szCs w:val="12"/>
                <w:b w:val="1"/>
                <w:bCs w:val="1"/>
                <w:color w:val="auto"/>
              </w:rPr>
              <w:t>Rate</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Rate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ind w:right="519"/>
              <w:spacing w:after="0"/>
              <w:rPr>
                <w:sz w:val="20"/>
                <w:szCs w:val="20"/>
                <w:color w:val="auto"/>
              </w:rPr>
            </w:pPr>
            <w:r>
              <w:rPr>
                <w:rFonts w:ascii="Arial" w:cs="Arial" w:eastAsia="Arial" w:hAnsi="Arial"/>
                <w:sz w:val="12"/>
                <w:szCs w:val="12"/>
                <w:b w:val="1"/>
                <w:bCs w:val="1"/>
                <w:color w:val="auto"/>
              </w:rPr>
              <w:t>(Loss)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w w:val="94"/>
              </w:rPr>
              <w:t>Fair Value</w:t>
            </w:r>
          </w:p>
        </w:tc>
        <w:tc>
          <w:tcPr>
            <w:tcW w:w="11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Location</w:t>
            </w:r>
          </w:p>
        </w:tc>
        <w:tc>
          <w:tcPr>
            <w:tcW w:w="0" w:type="dxa"/>
            <w:vAlign w:val="bottom"/>
          </w:tcPr>
          <w:p>
            <w:pPr>
              <w:spacing w:after="0"/>
              <w:rPr>
                <w:sz w:val="1"/>
                <w:szCs w:val="1"/>
                <w:color w:val="auto"/>
              </w:rPr>
            </w:pPr>
          </w:p>
        </w:tc>
      </w:tr>
      <w:tr>
        <w:trPr>
          <w:trHeight w:val="129"/>
        </w:trPr>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2"/>
                <w:szCs w:val="12"/>
                <w:b w:val="1"/>
                <w:bCs w:val="1"/>
                <w:color w:val="auto"/>
                <w:w w:val="86"/>
              </w:rPr>
              <w:t>(Dollars in thousands)</w:t>
            </w:r>
          </w:p>
        </w:tc>
        <w:tc>
          <w:tcPr>
            <w:tcW w:w="7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i w:val="1"/>
                <w:iCs w:val="1"/>
                <w:color w:val="auto"/>
              </w:rPr>
              <w:t>Interest rate swaps:</w:t>
            </w:r>
          </w:p>
        </w:tc>
        <w:tc>
          <w:tcPr>
            <w:tcW w:w="1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2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10,000</w:t>
            </w:r>
          </w:p>
        </w:tc>
        <w:tc>
          <w:tcPr>
            <w:tcW w:w="160" w:type="dxa"/>
            <w:vAlign w:val="bottom"/>
          </w:tcPr>
          <w:p>
            <w:pPr>
              <w:spacing w:after="0"/>
              <w:rPr>
                <w:sz w:val="11"/>
                <w:szCs w:val="11"/>
                <w:color w:val="auto"/>
              </w:rPr>
            </w:pPr>
          </w:p>
        </w:tc>
        <w:tc>
          <w:tcPr>
            <w:tcW w:w="132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February 2010</w:t>
            </w:r>
          </w:p>
        </w:tc>
        <w:tc>
          <w:tcPr>
            <w:tcW w:w="126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February 2015</w:t>
            </w:r>
          </w:p>
        </w:tc>
        <w:tc>
          <w:tcPr>
            <w:tcW w:w="860" w:type="dxa"/>
            <w:vAlign w:val="bottom"/>
          </w:tcPr>
          <w:p>
            <w:pPr>
              <w:jc w:val="center"/>
              <w:ind w:left="22"/>
              <w:spacing w:after="0" w:line="135" w:lineRule="exact"/>
              <w:rPr>
                <w:sz w:val="20"/>
                <w:szCs w:val="20"/>
                <w:color w:val="auto"/>
              </w:rPr>
            </w:pPr>
            <w:r>
              <w:rPr>
                <w:rFonts w:ascii="Arial" w:cs="Arial" w:eastAsia="Arial" w:hAnsi="Arial"/>
                <w:sz w:val="12"/>
                <w:szCs w:val="12"/>
                <w:color w:val="auto"/>
                <w:w w:val="95"/>
              </w:rPr>
              <w:t>3 Mo. LIBOR</w:t>
            </w:r>
          </w:p>
        </w:tc>
        <w:tc>
          <w:tcPr>
            <w:tcW w:w="11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2.14%</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4.69%</w:t>
            </w:r>
          </w:p>
        </w:tc>
        <w:tc>
          <w:tcPr>
            <w:tcW w:w="880" w:type="dxa"/>
            <w:vAlign w:val="bottom"/>
          </w:tcPr>
          <w:p>
            <w:pPr>
              <w:ind w:left="540"/>
              <w:spacing w:after="0" w:line="135" w:lineRule="exact"/>
              <w:rPr>
                <w:sz w:val="20"/>
                <w:szCs w:val="20"/>
                <w:color w:val="auto"/>
              </w:rPr>
            </w:pPr>
            <w:r>
              <w:rPr>
                <w:rFonts w:ascii="Arial" w:cs="Arial" w:eastAsia="Arial" w:hAnsi="Arial"/>
                <w:sz w:val="12"/>
                <w:szCs w:val="12"/>
                <w:color w:val="auto"/>
              </w:rPr>
              <w:t>n/a</w:t>
            </w:r>
          </w:p>
        </w:tc>
        <w:tc>
          <w:tcPr>
            <w:tcW w:w="1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140" w:type="dxa"/>
            <w:vAlign w:val="bottom"/>
            <w:gridSpan w:val="3"/>
          </w:tcPr>
          <w:p>
            <w:pPr>
              <w:jc w:val="right"/>
              <w:ind w:right="39"/>
              <w:spacing w:after="0" w:line="135" w:lineRule="exact"/>
              <w:rPr>
                <w:sz w:val="20"/>
                <w:szCs w:val="20"/>
                <w:color w:val="auto"/>
              </w:rPr>
            </w:pPr>
            <w:r>
              <w:rPr>
                <w:rFonts w:ascii="Arial" w:cs="Arial" w:eastAsia="Arial" w:hAnsi="Arial"/>
                <w:sz w:val="12"/>
                <w:szCs w:val="12"/>
                <w:color w:val="auto"/>
              </w:rPr>
              <w:t>(22)</w:t>
            </w:r>
          </w:p>
        </w:tc>
        <w:tc>
          <w:tcPr>
            <w:tcW w:w="1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4"/>
          </w:tcPr>
          <w:p>
            <w:pPr>
              <w:jc w:val="right"/>
              <w:ind w:right="160"/>
              <w:spacing w:after="0" w:line="135" w:lineRule="exact"/>
              <w:rPr>
                <w:sz w:val="20"/>
                <w:szCs w:val="20"/>
                <w:color w:val="auto"/>
              </w:rPr>
            </w:pPr>
            <w:r>
              <w:rPr>
                <w:rFonts w:ascii="Arial" w:cs="Arial" w:eastAsia="Arial" w:hAnsi="Arial"/>
                <w:sz w:val="12"/>
                <w:szCs w:val="12"/>
                <w:color w:val="auto"/>
              </w:rPr>
              <w:t>(37)</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1"/>
              </w:rPr>
              <w:t>Other Liabilities</w:t>
            </w:r>
          </w:p>
        </w:tc>
        <w:tc>
          <w:tcPr>
            <w:tcW w:w="0" w:type="dxa"/>
            <w:vAlign w:val="bottom"/>
          </w:tcPr>
          <w:p>
            <w:pPr>
              <w:spacing w:after="0"/>
              <w:rPr>
                <w:sz w:val="1"/>
                <w:szCs w:val="1"/>
                <w:color w:val="auto"/>
              </w:rPr>
            </w:pPr>
          </w:p>
        </w:tc>
      </w:tr>
      <w:tr>
        <w:trPr>
          <w:trHeight w:val="135"/>
        </w:trPr>
        <w:tc>
          <w:tcPr>
            <w:tcW w:w="3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5,000</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July 2013</w:t>
            </w:r>
          </w:p>
        </w:tc>
        <w:tc>
          <w:tcPr>
            <w:tcW w:w="126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July 2033</w:t>
            </w:r>
          </w:p>
        </w:tc>
        <w:tc>
          <w:tcPr>
            <w:tcW w:w="860" w:type="dxa"/>
            <w:vAlign w:val="bottom"/>
            <w:shd w:val="clear" w:color="auto" w:fill="CCEEFF"/>
          </w:tcPr>
          <w:p>
            <w:pPr>
              <w:jc w:val="center"/>
              <w:ind w:left="22"/>
              <w:spacing w:after="0" w:line="135" w:lineRule="exact"/>
              <w:rPr>
                <w:sz w:val="20"/>
                <w:szCs w:val="20"/>
                <w:color w:val="auto"/>
              </w:rPr>
            </w:pPr>
            <w:r>
              <w:rPr>
                <w:rFonts w:ascii="Arial" w:cs="Arial" w:eastAsia="Arial" w:hAnsi="Arial"/>
                <w:sz w:val="12"/>
                <w:szCs w:val="12"/>
                <w:color w:val="auto"/>
                <w:w w:val="95"/>
              </w:rPr>
              <w:t>3 Mo. LIBOR</w:t>
            </w:r>
          </w:p>
        </w:tc>
        <w:tc>
          <w:tcPr>
            <w:tcW w:w="118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0.25%</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3.38%</w:t>
            </w:r>
          </w:p>
        </w:tc>
        <w:tc>
          <w:tcPr>
            <w:tcW w:w="88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n/a</w:t>
            </w: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(639)</w:t>
            </w: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(639)</w:t>
            </w:r>
          </w:p>
        </w:tc>
        <w:tc>
          <w:tcPr>
            <w:tcW w:w="11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1"/>
              </w:rPr>
              <w:t>Other Liabilities</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2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5,000</w:t>
            </w:r>
          </w:p>
        </w:tc>
        <w:tc>
          <w:tcPr>
            <w:tcW w:w="160" w:type="dxa"/>
            <w:vAlign w:val="bottom"/>
          </w:tcPr>
          <w:p>
            <w:pPr>
              <w:spacing w:after="0"/>
              <w:rPr>
                <w:sz w:val="11"/>
                <w:szCs w:val="11"/>
                <w:color w:val="auto"/>
              </w:rPr>
            </w:pPr>
          </w:p>
        </w:tc>
        <w:tc>
          <w:tcPr>
            <w:tcW w:w="132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July 2013</w:t>
            </w:r>
          </w:p>
        </w:tc>
        <w:tc>
          <w:tcPr>
            <w:tcW w:w="126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July 2028</w:t>
            </w:r>
          </w:p>
        </w:tc>
        <w:tc>
          <w:tcPr>
            <w:tcW w:w="860" w:type="dxa"/>
            <w:vAlign w:val="bottom"/>
          </w:tcPr>
          <w:p>
            <w:pPr>
              <w:jc w:val="center"/>
              <w:ind w:left="22"/>
              <w:spacing w:after="0" w:line="135" w:lineRule="exact"/>
              <w:rPr>
                <w:sz w:val="20"/>
                <w:szCs w:val="20"/>
                <w:color w:val="auto"/>
              </w:rPr>
            </w:pPr>
            <w:r>
              <w:rPr>
                <w:rFonts w:ascii="Arial" w:cs="Arial" w:eastAsia="Arial" w:hAnsi="Arial"/>
                <w:sz w:val="12"/>
                <w:szCs w:val="12"/>
                <w:color w:val="auto"/>
                <w:w w:val="95"/>
              </w:rPr>
              <w:t>3 Mo. LIBOR</w:t>
            </w:r>
          </w:p>
        </w:tc>
        <w:tc>
          <w:tcPr>
            <w:tcW w:w="11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0.25%</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3.23%</w:t>
            </w:r>
          </w:p>
        </w:tc>
        <w:tc>
          <w:tcPr>
            <w:tcW w:w="880" w:type="dxa"/>
            <w:vAlign w:val="bottom"/>
          </w:tcPr>
          <w:p>
            <w:pPr>
              <w:ind w:left="540"/>
              <w:spacing w:after="0" w:line="135" w:lineRule="exact"/>
              <w:rPr>
                <w:sz w:val="20"/>
                <w:szCs w:val="20"/>
                <w:color w:val="auto"/>
              </w:rPr>
            </w:pPr>
            <w:r>
              <w:rPr>
                <w:rFonts w:ascii="Arial" w:cs="Arial" w:eastAsia="Arial" w:hAnsi="Arial"/>
                <w:sz w:val="12"/>
                <w:szCs w:val="12"/>
                <w:color w:val="auto"/>
              </w:rPr>
              <w:t>n/a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39"/>
              <w:spacing w:after="0" w:line="135" w:lineRule="exact"/>
              <w:rPr>
                <w:sz w:val="20"/>
                <w:szCs w:val="20"/>
                <w:color w:val="auto"/>
              </w:rPr>
            </w:pPr>
            <w:r>
              <w:rPr>
                <w:rFonts w:ascii="Arial" w:cs="Arial" w:eastAsia="Arial" w:hAnsi="Arial"/>
                <w:sz w:val="12"/>
                <w:szCs w:val="12"/>
                <w:color w:val="auto"/>
              </w:rPr>
              <w:t>(485)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right"/>
              <w:ind w:right="160"/>
              <w:spacing w:after="0" w:line="135" w:lineRule="exact"/>
              <w:rPr>
                <w:sz w:val="20"/>
                <w:szCs w:val="20"/>
                <w:color w:val="auto"/>
              </w:rPr>
            </w:pPr>
            <w:r>
              <w:rPr>
                <w:rFonts w:ascii="Arial" w:cs="Arial" w:eastAsia="Arial" w:hAnsi="Arial"/>
                <w:sz w:val="12"/>
                <w:szCs w:val="12"/>
                <w:color w:val="auto"/>
              </w:rPr>
              <w:t>(485)</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1"/>
              </w:rPr>
              <w:t>Other Liabilities</w:t>
            </w:r>
          </w:p>
        </w:tc>
        <w:tc>
          <w:tcPr>
            <w:tcW w:w="0" w:type="dxa"/>
            <w:vAlign w:val="bottom"/>
          </w:tcPr>
          <w:p>
            <w:pPr>
              <w:spacing w:after="0"/>
              <w:rPr>
                <w:sz w:val="1"/>
                <w:szCs w:val="1"/>
                <w:color w:val="auto"/>
              </w:rPr>
            </w:pPr>
          </w:p>
        </w:tc>
      </w:tr>
      <w:tr>
        <w:trPr>
          <w:trHeight w:val="135"/>
        </w:trPr>
        <w:tc>
          <w:tcPr>
            <w:tcW w:w="3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5,000</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July 2013</w:t>
            </w:r>
          </w:p>
        </w:tc>
        <w:tc>
          <w:tcPr>
            <w:tcW w:w="126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July 2023</w:t>
            </w:r>
          </w:p>
        </w:tc>
        <w:tc>
          <w:tcPr>
            <w:tcW w:w="860" w:type="dxa"/>
            <w:vAlign w:val="bottom"/>
            <w:shd w:val="clear" w:color="auto" w:fill="CCEEFF"/>
          </w:tcPr>
          <w:p>
            <w:pPr>
              <w:jc w:val="center"/>
              <w:ind w:left="22"/>
              <w:spacing w:after="0" w:line="135" w:lineRule="exact"/>
              <w:rPr>
                <w:sz w:val="20"/>
                <w:szCs w:val="20"/>
                <w:color w:val="auto"/>
              </w:rPr>
            </w:pPr>
            <w:r>
              <w:rPr>
                <w:rFonts w:ascii="Arial" w:cs="Arial" w:eastAsia="Arial" w:hAnsi="Arial"/>
                <w:sz w:val="12"/>
                <w:szCs w:val="12"/>
                <w:color w:val="auto"/>
                <w:w w:val="95"/>
              </w:rPr>
              <w:t>3 Mo. LIBOR</w:t>
            </w:r>
          </w:p>
        </w:tc>
        <w:tc>
          <w:tcPr>
            <w:tcW w:w="118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0.25%</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2.77%</w:t>
            </w:r>
          </w:p>
        </w:tc>
        <w:tc>
          <w:tcPr>
            <w:tcW w:w="88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n/a</w:t>
            </w: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(250)</w:t>
            </w: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(250)</w:t>
            </w:r>
          </w:p>
        </w:tc>
        <w:tc>
          <w:tcPr>
            <w:tcW w:w="11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1"/>
              </w:rPr>
              <w:t>Other Liabilities</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360" w:type="dxa"/>
            <w:vAlign w:val="bottom"/>
            <w:gridSpan w:val="3"/>
          </w:tcPr>
          <w:p>
            <w:pPr>
              <w:jc w:val="right"/>
              <w:ind w:right="200"/>
              <w:spacing w:after="0" w:line="135" w:lineRule="exact"/>
              <w:rPr>
                <w:sz w:val="20"/>
                <w:szCs w:val="20"/>
                <w:color w:val="auto"/>
              </w:rPr>
            </w:pPr>
            <w:r>
              <w:rPr>
                <w:rFonts w:ascii="Arial" w:cs="Arial" w:eastAsia="Arial" w:hAnsi="Arial"/>
                <w:sz w:val="12"/>
                <w:szCs w:val="12"/>
                <w:i w:val="1"/>
                <w:iCs w:val="1"/>
                <w:color w:val="auto"/>
              </w:rPr>
              <w:t>Interest rate caps:</w:t>
            </w:r>
          </w:p>
        </w:tc>
        <w:tc>
          <w:tcPr>
            <w:tcW w:w="1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6,000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October 2014</w:t>
            </w:r>
          </w:p>
        </w:tc>
        <w:tc>
          <w:tcPr>
            <w:tcW w:w="126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September 2019</w:t>
            </w:r>
          </w:p>
        </w:tc>
        <w:tc>
          <w:tcPr>
            <w:tcW w:w="860" w:type="dxa"/>
            <w:vAlign w:val="bottom"/>
            <w:shd w:val="clear" w:color="auto" w:fill="CCEEFF"/>
          </w:tcPr>
          <w:p>
            <w:pPr>
              <w:jc w:val="center"/>
              <w:ind w:left="22"/>
              <w:spacing w:after="0" w:line="135" w:lineRule="exact"/>
              <w:rPr>
                <w:sz w:val="20"/>
                <w:szCs w:val="20"/>
                <w:color w:val="auto"/>
              </w:rPr>
            </w:pPr>
            <w:r>
              <w:rPr>
                <w:rFonts w:ascii="Arial" w:cs="Arial" w:eastAsia="Arial" w:hAnsi="Arial"/>
                <w:sz w:val="12"/>
                <w:szCs w:val="12"/>
                <w:color w:val="auto"/>
                <w:w w:val="95"/>
              </w:rPr>
              <w:t>3 Mo. LIBOR</w:t>
            </w:r>
          </w:p>
        </w:tc>
        <w:tc>
          <w:tcPr>
            <w:tcW w:w="1180" w:type="dxa"/>
            <w:vAlign w:val="bottom"/>
            <w:shd w:val="clear" w:color="auto" w:fill="CCEEFF"/>
          </w:tcPr>
          <w:p>
            <w:pPr>
              <w:jc w:val="right"/>
              <w:ind w:right="162"/>
              <w:spacing w:after="0" w:line="135" w:lineRule="exact"/>
              <w:rPr>
                <w:sz w:val="20"/>
                <w:szCs w:val="20"/>
                <w:color w:val="auto"/>
              </w:rPr>
            </w:pPr>
            <w:r>
              <w:rPr>
                <w:rFonts w:ascii="Arial" w:cs="Arial" w:eastAsia="Arial" w:hAnsi="Arial"/>
                <w:sz w:val="12"/>
                <w:szCs w:val="12"/>
                <w:color w:val="auto"/>
              </w:rPr>
              <w:t>n/a</w:t>
            </w:r>
          </w:p>
        </w:tc>
        <w:tc>
          <w:tcPr>
            <w:tcW w:w="70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n/a</w:t>
            </w:r>
          </w:p>
        </w:tc>
        <w:tc>
          <w:tcPr>
            <w:tcW w:w="880" w:type="dxa"/>
            <w:vAlign w:val="bottom"/>
            <w:shd w:val="clear" w:color="auto" w:fill="CCEEFF"/>
          </w:tcPr>
          <w:p>
            <w:pPr>
              <w:ind w:left="480"/>
              <w:spacing w:after="0" w:line="135" w:lineRule="exact"/>
              <w:rPr>
                <w:sz w:val="20"/>
                <w:szCs w:val="20"/>
                <w:color w:val="auto"/>
              </w:rPr>
            </w:pPr>
            <w:r>
              <w:rPr>
                <w:rFonts w:ascii="Arial" w:cs="Arial" w:eastAsia="Arial" w:hAnsi="Arial"/>
                <w:sz w:val="12"/>
                <w:szCs w:val="12"/>
                <w:color w:val="auto"/>
              </w:rPr>
              <w:t>2.50%</w:t>
            </w: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(75)</w:t>
            </w: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6"/>
              </w:rPr>
              <w:t>Other Assets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3"/>
            <w:vMerge w:val="restart"/>
          </w:tcPr>
          <w:p>
            <w:pPr>
              <w:jc w:val="right"/>
              <w:ind w:right="160"/>
              <w:spacing w:after="0"/>
              <w:rPr>
                <w:sz w:val="20"/>
                <w:szCs w:val="20"/>
                <w:color w:val="auto"/>
              </w:rPr>
            </w:pPr>
            <w:r>
              <w:rPr>
                <w:rFonts w:ascii="Arial" w:cs="Arial" w:eastAsia="Arial" w:hAnsi="Arial"/>
                <w:sz w:val="8"/>
                <w:szCs w:val="8"/>
                <w:color w:val="auto"/>
                <w:w w:val="73"/>
              </w:rPr>
              <w:t>)</w:t>
            </w: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31,000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(1,471</w:t>
            </w:r>
          </w:p>
        </w:tc>
        <w:tc>
          <w:tcPr>
            <w:tcW w:w="120" w:type="dxa"/>
            <w:vAlign w:val="bottom"/>
            <w:gridSpan w:val="2"/>
            <w:vMerge w:val="continue"/>
          </w:tcPr>
          <w:p>
            <w:pPr>
              <w:spacing w:after="0"/>
              <w:rPr>
                <w:sz w:val="12"/>
                <w:szCs w:val="1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(1,309</w:t>
            </w:r>
          </w:p>
        </w:tc>
        <w:tc>
          <w:tcPr>
            <w:tcW w:w="200" w:type="dxa"/>
            <w:vAlign w:val="bottom"/>
            <w:gridSpan w:val="3"/>
            <w:vMerge w:val="continue"/>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vMerge w:val="restart"/>
          </w:tcPr>
          <w:p>
            <w:pPr>
              <w:jc w:val="right"/>
              <w:ind w:right="222"/>
              <w:spacing w:after="0"/>
              <w:rPr>
                <w:sz w:val="20"/>
                <w:szCs w:val="20"/>
                <w:color w:val="auto"/>
              </w:rPr>
            </w:pPr>
            <w:r>
              <w:rPr>
                <w:rFonts w:ascii="Arial" w:cs="Arial" w:eastAsia="Arial" w:hAnsi="Arial"/>
                <w:sz w:val="12"/>
                <w:szCs w:val="12"/>
                <w:b w:val="1"/>
                <w:bCs w:val="1"/>
                <w:color w:val="auto"/>
              </w:rPr>
              <w:t>June 30, 2014</w:t>
            </w: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1360" w:type="dxa"/>
            <w:vAlign w:val="bottom"/>
            <w:gridSpan w:val="3"/>
          </w:tcPr>
          <w:p>
            <w:pPr>
              <w:jc w:val="right"/>
              <w:ind w:right="680"/>
              <w:spacing w:after="0" w:line="121" w:lineRule="exact"/>
              <w:rPr>
                <w:sz w:val="20"/>
                <w:szCs w:val="20"/>
                <w:color w:val="auto"/>
              </w:rPr>
            </w:pPr>
            <w:r>
              <w:rPr>
                <w:rFonts w:ascii="Arial" w:cs="Arial" w:eastAsia="Arial" w:hAnsi="Arial"/>
                <w:sz w:val="12"/>
                <w:szCs w:val="12"/>
                <w:b w:val="1"/>
                <w:bCs w:val="1"/>
                <w:color w:val="auto"/>
              </w:rPr>
              <w:t>Notional</w:t>
            </w:r>
          </w:p>
        </w:tc>
        <w:tc>
          <w:tcPr>
            <w:tcW w:w="1320" w:type="dxa"/>
            <w:vAlign w:val="bottom"/>
          </w:tcPr>
          <w:p>
            <w:pPr>
              <w:spacing w:after="0"/>
              <w:rPr>
                <w:sz w:val="10"/>
                <w:szCs w:val="10"/>
                <w:color w:val="auto"/>
              </w:rPr>
            </w:pPr>
          </w:p>
        </w:tc>
        <w:tc>
          <w:tcPr>
            <w:tcW w:w="1260" w:type="dxa"/>
            <w:vAlign w:val="bottom"/>
          </w:tcPr>
          <w:p>
            <w:pPr>
              <w:jc w:val="right"/>
              <w:ind w:right="342"/>
              <w:spacing w:after="0" w:line="121" w:lineRule="exact"/>
              <w:rPr>
                <w:sz w:val="20"/>
                <w:szCs w:val="20"/>
                <w:color w:val="auto"/>
              </w:rPr>
            </w:pPr>
            <w:r>
              <w:rPr>
                <w:rFonts w:ascii="Arial" w:cs="Arial" w:eastAsia="Arial" w:hAnsi="Arial"/>
                <w:sz w:val="12"/>
                <w:szCs w:val="12"/>
                <w:b w:val="1"/>
                <w:bCs w:val="1"/>
                <w:color w:val="auto"/>
              </w:rPr>
              <w:t>Termination</w:t>
            </w:r>
          </w:p>
        </w:tc>
        <w:tc>
          <w:tcPr>
            <w:tcW w:w="860" w:type="dxa"/>
            <w:vAlign w:val="bottom"/>
          </w:tcPr>
          <w:p>
            <w:pPr>
              <w:spacing w:after="0"/>
              <w:rPr>
                <w:sz w:val="10"/>
                <w:szCs w:val="10"/>
                <w:color w:val="auto"/>
              </w:rPr>
            </w:pPr>
          </w:p>
        </w:tc>
        <w:tc>
          <w:tcPr>
            <w:tcW w:w="1180" w:type="dxa"/>
            <w:vAlign w:val="bottom"/>
          </w:tcPr>
          <w:p>
            <w:pPr>
              <w:jc w:val="right"/>
              <w:ind w:right="242"/>
              <w:spacing w:after="0" w:line="121" w:lineRule="exact"/>
              <w:rPr>
                <w:sz w:val="20"/>
                <w:szCs w:val="20"/>
                <w:color w:val="auto"/>
              </w:rPr>
            </w:pPr>
            <w:r>
              <w:rPr>
                <w:rFonts w:ascii="Arial" w:cs="Arial" w:eastAsia="Arial" w:hAnsi="Arial"/>
                <w:sz w:val="12"/>
                <w:szCs w:val="12"/>
                <w:b w:val="1"/>
                <w:bCs w:val="1"/>
                <w:color w:val="auto"/>
              </w:rPr>
              <w:t>Receive</w:t>
            </w:r>
          </w:p>
        </w:tc>
        <w:tc>
          <w:tcPr>
            <w:tcW w:w="700" w:type="dxa"/>
            <w:vAlign w:val="bottom"/>
          </w:tcPr>
          <w:p>
            <w:pPr>
              <w:jc w:val="right"/>
              <w:ind w:right="322"/>
              <w:spacing w:after="0" w:line="121" w:lineRule="exact"/>
              <w:rPr>
                <w:sz w:val="20"/>
                <w:szCs w:val="20"/>
                <w:color w:val="auto"/>
              </w:rPr>
            </w:pPr>
            <w:r>
              <w:rPr>
                <w:rFonts w:ascii="Arial" w:cs="Arial" w:eastAsia="Arial" w:hAnsi="Arial"/>
                <w:sz w:val="12"/>
                <w:szCs w:val="12"/>
                <w:b w:val="1"/>
                <w:bCs w:val="1"/>
                <w:color w:val="auto"/>
              </w:rPr>
              <w:t>Pay</w:t>
            </w:r>
          </w:p>
        </w:tc>
        <w:tc>
          <w:tcPr>
            <w:tcW w:w="880" w:type="dxa"/>
            <w:vAlign w:val="bottom"/>
          </w:tcPr>
          <w:p>
            <w:pPr>
              <w:ind w:left="180"/>
              <w:spacing w:after="0" w:line="121" w:lineRule="exact"/>
              <w:rPr>
                <w:sz w:val="20"/>
                <w:szCs w:val="20"/>
                <w:color w:val="auto"/>
              </w:rPr>
            </w:pPr>
            <w:r>
              <w:rPr>
                <w:rFonts w:ascii="Arial" w:cs="Arial" w:eastAsia="Arial" w:hAnsi="Arial"/>
                <w:sz w:val="12"/>
                <w:szCs w:val="12"/>
                <w:b w:val="1"/>
                <w:bCs w:val="1"/>
                <w:color w:val="auto"/>
              </w:rPr>
              <w:t>Strike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5"/>
              </w:rPr>
              <w:t>Balance Sheet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00" w:type="dxa"/>
            <w:vAlign w:val="bottom"/>
          </w:tcPr>
          <w:p>
            <w:pPr>
              <w:spacing w:after="0"/>
              <w:rPr>
                <w:sz w:val="12"/>
                <w:szCs w:val="12"/>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2"/>
                <w:szCs w:val="12"/>
                <w:b w:val="1"/>
                <w:bCs w:val="1"/>
                <w:color w:val="auto"/>
              </w:rPr>
              <w:t>Amount</w:t>
            </w:r>
          </w:p>
        </w:tc>
        <w:tc>
          <w:tcPr>
            <w:tcW w:w="1320" w:type="dxa"/>
            <w:vAlign w:val="bottom"/>
          </w:tcPr>
          <w:p>
            <w:pPr>
              <w:jc w:val="right"/>
              <w:ind w:right="302"/>
              <w:spacing w:after="0"/>
              <w:rPr>
                <w:sz w:val="20"/>
                <w:szCs w:val="20"/>
                <w:color w:val="auto"/>
              </w:rPr>
            </w:pPr>
            <w:r>
              <w:rPr>
                <w:rFonts w:ascii="Arial" w:cs="Arial" w:eastAsia="Arial" w:hAnsi="Arial"/>
                <w:sz w:val="12"/>
                <w:szCs w:val="12"/>
                <w:b w:val="1"/>
                <w:bCs w:val="1"/>
                <w:color w:val="auto"/>
              </w:rPr>
              <w:t>Inception Date</w:t>
            </w:r>
          </w:p>
        </w:tc>
        <w:tc>
          <w:tcPr>
            <w:tcW w:w="1260" w:type="dxa"/>
            <w:vAlign w:val="bottom"/>
          </w:tcPr>
          <w:p>
            <w:pPr>
              <w:jc w:val="right"/>
              <w:ind w:right="522"/>
              <w:spacing w:after="0"/>
              <w:rPr>
                <w:sz w:val="20"/>
                <w:szCs w:val="20"/>
                <w:color w:val="auto"/>
              </w:rPr>
            </w:pPr>
            <w:r>
              <w:rPr>
                <w:rFonts w:ascii="Arial" w:cs="Arial" w:eastAsia="Arial" w:hAnsi="Arial"/>
                <w:sz w:val="12"/>
                <w:szCs w:val="12"/>
                <w:b w:val="1"/>
                <w:bCs w:val="1"/>
                <w:color w:val="auto"/>
              </w:rPr>
              <w:t>Date</w:t>
            </w:r>
          </w:p>
        </w:tc>
        <w:tc>
          <w:tcPr>
            <w:tcW w:w="860" w:type="dxa"/>
            <w:vAlign w:val="bottom"/>
          </w:tcPr>
          <w:p>
            <w:pPr>
              <w:jc w:val="center"/>
              <w:ind w:left="162"/>
              <w:spacing w:after="0"/>
              <w:rPr>
                <w:sz w:val="20"/>
                <w:szCs w:val="20"/>
                <w:color w:val="auto"/>
              </w:rPr>
            </w:pPr>
            <w:r>
              <w:rPr>
                <w:rFonts w:ascii="Arial" w:cs="Arial" w:eastAsia="Arial" w:hAnsi="Arial"/>
                <w:sz w:val="12"/>
                <w:szCs w:val="12"/>
                <w:b w:val="1"/>
                <w:bCs w:val="1"/>
                <w:color w:val="auto"/>
                <w:w w:val="89"/>
              </w:rPr>
              <w:t>Index</w:t>
            </w:r>
          </w:p>
        </w:tc>
        <w:tc>
          <w:tcPr>
            <w:tcW w:w="1180" w:type="dxa"/>
            <w:vAlign w:val="bottom"/>
          </w:tcPr>
          <w:p>
            <w:pPr>
              <w:jc w:val="right"/>
              <w:ind w:right="322"/>
              <w:spacing w:after="0"/>
              <w:rPr>
                <w:sz w:val="20"/>
                <w:szCs w:val="20"/>
                <w:color w:val="auto"/>
              </w:rPr>
            </w:pPr>
            <w:r>
              <w:rPr>
                <w:rFonts w:ascii="Arial" w:cs="Arial" w:eastAsia="Arial" w:hAnsi="Arial"/>
                <w:sz w:val="12"/>
                <w:szCs w:val="12"/>
                <w:b w:val="1"/>
                <w:bCs w:val="1"/>
                <w:color w:val="auto"/>
              </w:rPr>
              <w:t>Rate</w:t>
            </w:r>
          </w:p>
        </w:tc>
        <w:tc>
          <w:tcPr>
            <w:tcW w:w="700" w:type="dxa"/>
            <w:vAlign w:val="bottom"/>
          </w:tcPr>
          <w:p>
            <w:pPr>
              <w:jc w:val="right"/>
              <w:ind w:right="302"/>
              <w:spacing w:after="0"/>
              <w:rPr>
                <w:sz w:val="20"/>
                <w:szCs w:val="20"/>
                <w:color w:val="auto"/>
              </w:rPr>
            </w:pPr>
            <w:r>
              <w:rPr>
                <w:rFonts w:ascii="Arial" w:cs="Arial" w:eastAsia="Arial" w:hAnsi="Arial"/>
                <w:sz w:val="12"/>
                <w:szCs w:val="12"/>
                <w:b w:val="1"/>
                <w:bCs w:val="1"/>
                <w:color w:val="auto"/>
              </w:rPr>
              <w:t>Rate</w:t>
            </w:r>
          </w:p>
        </w:tc>
        <w:tc>
          <w:tcPr>
            <w:tcW w:w="880" w:type="dxa"/>
            <w:vAlign w:val="bottom"/>
          </w:tcPr>
          <w:p>
            <w:pPr>
              <w:ind w:left="220"/>
              <w:spacing w:after="0"/>
              <w:rPr>
                <w:sz w:val="20"/>
                <w:szCs w:val="20"/>
                <w:color w:val="auto"/>
              </w:rPr>
            </w:pPr>
            <w:r>
              <w:rPr>
                <w:rFonts w:ascii="Arial" w:cs="Arial" w:eastAsia="Arial" w:hAnsi="Arial"/>
                <w:sz w:val="12"/>
                <w:szCs w:val="12"/>
                <w:b w:val="1"/>
                <w:bCs w:val="1"/>
                <w:color w:val="auto"/>
              </w:rPr>
              <w:t>Rate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ind w:right="219"/>
              <w:spacing w:after="0"/>
              <w:rPr>
                <w:sz w:val="20"/>
                <w:szCs w:val="20"/>
                <w:color w:val="auto"/>
              </w:rPr>
            </w:pPr>
            <w:r>
              <w:rPr>
                <w:rFonts w:ascii="Arial" w:cs="Arial" w:eastAsia="Arial" w:hAnsi="Arial"/>
                <w:sz w:val="12"/>
                <w:szCs w:val="12"/>
                <w:b w:val="1"/>
                <w:bCs w:val="1"/>
                <w:color w:val="auto"/>
                <w:w w:val="93"/>
              </w:rPr>
              <w:t>Unrealized 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w w:val="97"/>
              </w:rPr>
              <w:t>Fair Value</w:t>
            </w:r>
          </w:p>
        </w:tc>
        <w:tc>
          <w:tcPr>
            <w:tcW w:w="11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Location</w:t>
            </w:r>
          </w:p>
        </w:tc>
        <w:tc>
          <w:tcPr>
            <w:tcW w:w="0" w:type="dxa"/>
            <w:vAlign w:val="bottom"/>
          </w:tcPr>
          <w:p>
            <w:pPr>
              <w:spacing w:after="0"/>
              <w:rPr>
                <w:sz w:val="1"/>
                <w:szCs w:val="1"/>
                <w:color w:val="auto"/>
              </w:rPr>
            </w:pPr>
          </w:p>
        </w:tc>
      </w:tr>
      <w:tr>
        <w:trPr>
          <w:trHeight w:val="129"/>
        </w:trPr>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2"/>
                <w:szCs w:val="12"/>
                <w:b w:val="1"/>
                <w:bCs w:val="1"/>
                <w:color w:val="auto"/>
                <w:w w:val="86"/>
              </w:rPr>
              <w:t>(Dollars in thousands)</w:t>
            </w:r>
          </w:p>
        </w:tc>
        <w:tc>
          <w:tcPr>
            <w:tcW w:w="7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i w:val="1"/>
                <w:iCs w:val="1"/>
                <w:color w:val="auto"/>
              </w:rPr>
              <w:t>Interest rate swaps:</w:t>
            </w:r>
          </w:p>
        </w:tc>
        <w:tc>
          <w:tcPr>
            <w:tcW w:w="1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360" w:type="dxa"/>
            <w:vAlign w:val="bottom"/>
            <w:gridSpan w:val="3"/>
          </w:tcPr>
          <w:p>
            <w:pPr>
              <w:jc w:val="right"/>
              <w:ind w:right="160"/>
              <w:spacing w:after="0" w:line="135" w:lineRule="exact"/>
              <w:rPr>
                <w:sz w:val="20"/>
                <w:szCs w:val="20"/>
                <w:color w:val="auto"/>
              </w:rPr>
            </w:pPr>
            <w:r>
              <w:rPr>
                <w:rFonts w:ascii="Arial" w:cs="Arial" w:eastAsia="Arial" w:hAnsi="Arial"/>
                <w:sz w:val="12"/>
                <w:szCs w:val="12"/>
                <w:color w:val="auto"/>
              </w:rPr>
              <w:t>10,000</w:t>
            </w:r>
          </w:p>
        </w:tc>
        <w:tc>
          <w:tcPr>
            <w:tcW w:w="13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February 2010</w:t>
            </w:r>
          </w:p>
        </w:tc>
        <w:tc>
          <w:tcPr>
            <w:tcW w:w="1260" w:type="dxa"/>
            <w:vAlign w:val="bottom"/>
          </w:tcPr>
          <w:p>
            <w:pPr>
              <w:jc w:val="right"/>
              <w:ind w:right="82"/>
              <w:spacing w:after="0" w:line="135" w:lineRule="exact"/>
              <w:rPr>
                <w:sz w:val="20"/>
                <w:szCs w:val="20"/>
                <w:color w:val="auto"/>
              </w:rPr>
            </w:pPr>
            <w:r>
              <w:rPr>
                <w:rFonts w:ascii="Arial" w:cs="Arial" w:eastAsia="Arial" w:hAnsi="Arial"/>
                <w:sz w:val="12"/>
                <w:szCs w:val="12"/>
                <w:color w:val="auto"/>
              </w:rPr>
              <w:t>February 2015</w:t>
            </w:r>
          </w:p>
        </w:tc>
        <w:tc>
          <w:tcPr>
            <w:tcW w:w="860" w:type="dxa"/>
            <w:vAlign w:val="bottom"/>
          </w:tcPr>
          <w:p>
            <w:pPr>
              <w:jc w:val="center"/>
              <w:ind w:left="142"/>
              <w:spacing w:after="0" w:line="135" w:lineRule="exact"/>
              <w:rPr>
                <w:sz w:val="20"/>
                <w:szCs w:val="20"/>
                <w:color w:val="auto"/>
              </w:rPr>
            </w:pPr>
            <w:r>
              <w:rPr>
                <w:rFonts w:ascii="Arial" w:cs="Arial" w:eastAsia="Arial" w:hAnsi="Arial"/>
                <w:sz w:val="12"/>
                <w:szCs w:val="12"/>
                <w:color w:val="auto"/>
                <w:w w:val="95"/>
              </w:rPr>
              <w:t>3 Mo. LIBOR</w:t>
            </w:r>
          </w:p>
        </w:tc>
        <w:tc>
          <w:tcPr>
            <w:tcW w:w="11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2.12%</w:t>
            </w:r>
          </w:p>
        </w:tc>
        <w:tc>
          <w:tcPr>
            <w:tcW w:w="7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4.69%</w:t>
            </w:r>
          </w:p>
        </w:tc>
        <w:tc>
          <w:tcPr>
            <w:tcW w:w="880" w:type="dxa"/>
            <w:vAlign w:val="bottom"/>
          </w:tcPr>
          <w:p>
            <w:pPr>
              <w:ind w:left="600"/>
              <w:spacing w:after="0" w:line="135" w:lineRule="exact"/>
              <w:rPr>
                <w:sz w:val="20"/>
                <w:szCs w:val="20"/>
                <w:color w:val="auto"/>
              </w:rPr>
            </w:pPr>
            <w:r>
              <w:rPr>
                <w:rFonts w:ascii="Arial" w:cs="Arial" w:eastAsia="Arial" w:hAnsi="Arial"/>
                <w:sz w:val="12"/>
                <w:szCs w:val="12"/>
                <w:color w:val="auto"/>
              </w:rPr>
              <w:t>n/a</w:t>
            </w:r>
          </w:p>
        </w:tc>
        <w:tc>
          <w:tcPr>
            <w:tcW w:w="1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140" w:type="dxa"/>
            <w:vAlign w:val="bottom"/>
            <w:gridSpan w:val="3"/>
          </w:tcPr>
          <w:p>
            <w:pPr>
              <w:jc w:val="right"/>
              <w:ind w:right="19"/>
              <w:spacing w:after="0" w:line="135" w:lineRule="exact"/>
              <w:rPr>
                <w:sz w:val="20"/>
                <w:szCs w:val="20"/>
                <w:color w:val="auto"/>
              </w:rPr>
            </w:pPr>
            <w:r>
              <w:rPr>
                <w:rFonts w:ascii="Arial" w:cs="Arial" w:eastAsia="Arial" w:hAnsi="Arial"/>
                <w:sz w:val="12"/>
                <w:szCs w:val="12"/>
                <w:color w:val="auto"/>
              </w:rPr>
              <w:t>(99)</w:t>
            </w:r>
          </w:p>
        </w:tc>
        <w:tc>
          <w:tcPr>
            <w:tcW w:w="1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4"/>
          </w:tcPr>
          <w:p>
            <w:pPr>
              <w:jc w:val="right"/>
              <w:ind w:right="140"/>
              <w:spacing w:after="0" w:line="135" w:lineRule="exact"/>
              <w:rPr>
                <w:sz w:val="20"/>
                <w:szCs w:val="20"/>
                <w:color w:val="auto"/>
              </w:rPr>
            </w:pPr>
            <w:r>
              <w:rPr>
                <w:rFonts w:ascii="Arial" w:cs="Arial" w:eastAsia="Arial" w:hAnsi="Arial"/>
                <w:sz w:val="12"/>
                <w:szCs w:val="12"/>
                <w:color w:val="auto"/>
              </w:rPr>
              <w:t>(165)</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4"/>
              </w:rPr>
              <w:t>Other Liabilities</w:t>
            </w:r>
          </w:p>
        </w:tc>
        <w:tc>
          <w:tcPr>
            <w:tcW w:w="0" w:type="dxa"/>
            <w:vAlign w:val="bottom"/>
          </w:tcPr>
          <w:p>
            <w:pPr>
              <w:spacing w:after="0"/>
              <w:rPr>
                <w:sz w:val="1"/>
                <w:szCs w:val="1"/>
                <w:color w:val="auto"/>
              </w:rPr>
            </w:pPr>
          </w:p>
        </w:tc>
      </w:tr>
      <w:tr>
        <w:trPr>
          <w:trHeight w:val="135"/>
        </w:trPr>
        <w:tc>
          <w:tcPr>
            <w:tcW w:w="30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5,000</w:t>
            </w:r>
          </w:p>
        </w:tc>
        <w:tc>
          <w:tcPr>
            <w:tcW w:w="13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July 2013</w:t>
            </w:r>
          </w:p>
        </w:tc>
        <w:tc>
          <w:tcPr>
            <w:tcW w:w="126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July 2033</w:t>
            </w:r>
          </w:p>
        </w:tc>
        <w:tc>
          <w:tcPr>
            <w:tcW w:w="860" w:type="dxa"/>
            <w:vAlign w:val="bottom"/>
            <w:shd w:val="clear" w:color="auto" w:fill="CCEEFF"/>
          </w:tcPr>
          <w:p>
            <w:pPr>
              <w:jc w:val="center"/>
              <w:ind w:left="142"/>
              <w:spacing w:after="0" w:line="135" w:lineRule="exact"/>
              <w:rPr>
                <w:sz w:val="20"/>
                <w:szCs w:val="20"/>
                <w:color w:val="auto"/>
              </w:rPr>
            </w:pPr>
            <w:r>
              <w:rPr>
                <w:rFonts w:ascii="Arial" w:cs="Arial" w:eastAsia="Arial" w:hAnsi="Arial"/>
                <w:sz w:val="12"/>
                <w:szCs w:val="12"/>
                <w:color w:val="auto"/>
                <w:w w:val="95"/>
              </w:rPr>
              <w:t>3 Mo. LIBOR</w:t>
            </w:r>
          </w:p>
        </w:tc>
        <w:tc>
          <w:tcPr>
            <w:tcW w:w="11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0.23%</w:t>
            </w:r>
          </w:p>
        </w:tc>
        <w:tc>
          <w:tcPr>
            <w:tcW w:w="7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3.38%</w:t>
            </w:r>
          </w:p>
        </w:tc>
        <w:tc>
          <w:tcPr>
            <w:tcW w:w="880" w:type="dxa"/>
            <w:vAlign w:val="bottom"/>
            <w:shd w:val="clear" w:color="auto" w:fill="CCEEFF"/>
          </w:tcPr>
          <w:p>
            <w:pPr>
              <w:ind w:left="600"/>
              <w:spacing w:after="0" w:line="135" w:lineRule="exact"/>
              <w:rPr>
                <w:sz w:val="20"/>
                <w:szCs w:val="20"/>
                <w:color w:val="auto"/>
              </w:rPr>
            </w:pPr>
            <w:r>
              <w:rPr>
                <w:rFonts w:ascii="Arial" w:cs="Arial" w:eastAsia="Arial" w:hAnsi="Arial"/>
                <w:sz w:val="12"/>
                <w:szCs w:val="12"/>
                <w:color w:val="auto"/>
              </w:rPr>
              <w:t>n/a</w:t>
            </w:r>
          </w:p>
        </w:tc>
        <w:tc>
          <w:tcPr>
            <w:tcW w:w="1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140" w:type="dxa"/>
            <w:vAlign w:val="bottom"/>
            <w:gridSpan w:val="3"/>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(216)</w:t>
            </w:r>
          </w:p>
        </w:tc>
        <w:tc>
          <w:tcPr>
            <w:tcW w:w="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(216)</w:t>
            </w:r>
          </w:p>
        </w:tc>
        <w:tc>
          <w:tcPr>
            <w:tcW w:w="11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4"/>
              </w:rPr>
              <w:t>Other Liabilities</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360" w:type="dxa"/>
            <w:vAlign w:val="bottom"/>
            <w:gridSpan w:val="3"/>
          </w:tcPr>
          <w:p>
            <w:pPr>
              <w:jc w:val="right"/>
              <w:ind w:right="160"/>
              <w:spacing w:after="0" w:line="135" w:lineRule="exact"/>
              <w:rPr>
                <w:sz w:val="20"/>
                <w:szCs w:val="20"/>
                <w:color w:val="auto"/>
              </w:rPr>
            </w:pPr>
            <w:r>
              <w:rPr>
                <w:rFonts w:ascii="Arial" w:cs="Arial" w:eastAsia="Arial" w:hAnsi="Arial"/>
                <w:sz w:val="12"/>
                <w:szCs w:val="12"/>
                <w:color w:val="auto"/>
              </w:rPr>
              <w:t>5,000</w:t>
            </w:r>
          </w:p>
        </w:tc>
        <w:tc>
          <w:tcPr>
            <w:tcW w:w="13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July 2013</w:t>
            </w:r>
          </w:p>
        </w:tc>
        <w:tc>
          <w:tcPr>
            <w:tcW w:w="1260" w:type="dxa"/>
            <w:vAlign w:val="bottom"/>
          </w:tcPr>
          <w:p>
            <w:pPr>
              <w:jc w:val="right"/>
              <w:ind w:right="82"/>
              <w:spacing w:after="0" w:line="135" w:lineRule="exact"/>
              <w:rPr>
                <w:sz w:val="20"/>
                <w:szCs w:val="20"/>
                <w:color w:val="auto"/>
              </w:rPr>
            </w:pPr>
            <w:r>
              <w:rPr>
                <w:rFonts w:ascii="Arial" w:cs="Arial" w:eastAsia="Arial" w:hAnsi="Arial"/>
                <w:sz w:val="12"/>
                <w:szCs w:val="12"/>
                <w:color w:val="auto"/>
              </w:rPr>
              <w:t>July 2028</w:t>
            </w:r>
          </w:p>
        </w:tc>
        <w:tc>
          <w:tcPr>
            <w:tcW w:w="860" w:type="dxa"/>
            <w:vAlign w:val="bottom"/>
          </w:tcPr>
          <w:p>
            <w:pPr>
              <w:jc w:val="center"/>
              <w:ind w:left="142"/>
              <w:spacing w:after="0" w:line="135" w:lineRule="exact"/>
              <w:rPr>
                <w:sz w:val="20"/>
                <w:szCs w:val="20"/>
                <w:color w:val="auto"/>
              </w:rPr>
            </w:pPr>
            <w:r>
              <w:rPr>
                <w:rFonts w:ascii="Arial" w:cs="Arial" w:eastAsia="Arial" w:hAnsi="Arial"/>
                <w:sz w:val="12"/>
                <w:szCs w:val="12"/>
                <w:color w:val="auto"/>
                <w:w w:val="95"/>
              </w:rPr>
              <w:t>3 Mo. LIBOR</w:t>
            </w:r>
          </w:p>
        </w:tc>
        <w:tc>
          <w:tcPr>
            <w:tcW w:w="11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0.23%</w:t>
            </w:r>
          </w:p>
        </w:tc>
        <w:tc>
          <w:tcPr>
            <w:tcW w:w="7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3.23%</w:t>
            </w:r>
          </w:p>
        </w:tc>
        <w:tc>
          <w:tcPr>
            <w:tcW w:w="880" w:type="dxa"/>
            <w:vAlign w:val="bottom"/>
          </w:tcPr>
          <w:p>
            <w:pPr>
              <w:ind w:left="600"/>
              <w:spacing w:after="0" w:line="135" w:lineRule="exact"/>
              <w:rPr>
                <w:sz w:val="20"/>
                <w:szCs w:val="20"/>
                <w:color w:val="auto"/>
              </w:rPr>
            </w:pPr>
            <w:r>
              <w:rPr>
                <w:rFonts w:ascii="Arial" w:cs="Arial" w:eastAsia="Arial" w:hAnsi="Arial"/>
                <w:sz w:val="12"/>
                <w:szCs w:val="12"/>
                <w:color w:val="auto"/>
              </w:rPr>
              <w:t>n/a</w:t>
            </w:r>
          </w:p>
        </w:tc>
        <w:tc>
          <w:tcPr>
            <w:tcW w:w="1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140" w:type="dxa"/>
            <w:vAlign w:val="bottom"/>
            <w:gridSpan w:val="3"/>
          </w:tcPr>
          <w:p>
            <w:pPr>
              <w:jc w:val="right"/>
              <w:ind w:right="19"/>
              <w:spacing w:after="0" w:line="135" w:lineRule="exact"/>
              <w:rPr>
                <w:sz w:val="20"/>
                <w:szCs w:val="20"/>
                <w:color w:val="auto"/>
              </w:rPr>
            </w:pPr>
            <w:r>
              <w:rPr>
                <w:rFonts w:ascii="Arial" w:cs="Arial" w:eastAsia="Arial" w:hAnsi="Arial"/>
                <w:sz w:val="12"/>
                <w:szCs w:val="12"/>
                <w:color w:val="auto"/>
              </w:rPr>
              <w:t>(200)</w:t>
            </w:r>
          </w:p>
        </w:tc>
        <w:tc>
          <w:tcPr>
            <w:tcW w:w="1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4"/>
          </w:tcPr>
          <w:p>
            <w:pPr>
              <w:jc w:val="right"/>
              <w:ind w:right="140"/>
              <w:spacing w:after="0" w:line="135" w:lineRule="exact"/>
              <w:rPr>
                <w:sz w:val="20"/>
                <w:szCs w:val="20"/>
                <w:color w:val="auto"/>
              </w:rPr>
            </w:pPr>
            <w:r>
              <w:rPr>
                <w:rFonts w:ascii="Arial" w:cs="Arial" w:eastAsia="Arial" w:hAnsi="Arial"/>
                <w:sz w:val="12"/>
                <w:szCs w:val="12"/>
                <w:color w:val="auto"/>
              </w:rPr>
              <w:t>(200)</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4"/>
              </w:rPr>
              <w:t>Other Liabilities</w:t>
            </w:r>
          </w:p>
        </w:tc>
        <w:tc>
          <w:tcPr>
            <w:tcW w:w="0" w:type="dxa"/>
            <w:vAlign w:val="bottom"/>
          </w:tcPr>
          <w:p>
            <w:pPr>
              <w:spacing w:after="0"/>
              <w:rPr>
                <w:sz w:val="1"/>
                <w:szCs w:val="1"/>
                <w:color w:val="auto"/>
              </w:rPr>
            </w:pPr>
          </w:p>
        </w:tc>
      </w:tr>
      <w:tr>
        <w:trPr>
          <w:trHeight w:val="135"/>
        </w:trPr>
        <w:tc>
          <w:tcPr>
            <w:tcW w:w="30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5,000</w:t>
            </w:r>
          </w:p>
        </w:tc>
        <w:tc>
          <w:tcPr>
            <w:tcW w:w="13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July 2013</w:t>
            </w:r>
          </w:p>
        </w:tc>
        <w:tc>
          <w:tcPr>
            <w:tcW w:w="126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July 2023</w:t>
            </w:r>
          </w:p>
        </w:tc>
        <w:tc>
          <w:tcPr>
            <w:tcW w:w="860" w:type="dxa"/>
            <w:vAlign w:val="bottom"/>
            <w:shd w:val="clear" w:color="auto" w:fill="CCEEFF"/>
          </w:tcPr>
          <w:p>
            <w:pPr>
              <w:jc w:val="center"/>
              <w:ind w:left="142"/>
              <w:spacing w:after="0" w:line="135" w:lineRule="exact"/>
              <w:rPr>
                <w:sz w:val="20"/>
                <w:szCs w:val="20"/>
                <w:color w:val="auto"/>
              </w:rPr>
            </w:pPr>
            <w:r>
              <w:rPr>
                <w:rFonts w:ascii="Arial" w:cs="Arial" w:eastAsia="Arial" w:hAnsi="Arial"/>
                <w:sz w:val="12"/>
                <w:szCs w:val="12"/>
                <w:color w:val="auto"/>
                <w:w w:val="95"/>
              </w:rPr>
              <w:t>3 Mo. LIBOR</w:t>
            </w:r>
          </w:p>
        </w:tc>
        <w:tc>
          <w:tcPr>
            <w:tcW w:w="11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0.23%</w:t>
            </w:r>
          </w:p>
        </w:tc>
        <w:tc>
          <w:tcPr>
            <w:tcW w:w="7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2.77%</w:t>
            </w:r>
          </w:p>
        </w:tc>
        <w:tc>
          <w:tcPr>
            <w:tcW w:w="880" w:type="dxa"/>
            <w:vAlign w:val="bottom"/>
            <w:shd w:val="clear" w:color="auto" w:fill="CCEEFF"/>
          </w:tcPr>
          <w:p>
            <w:pPr>
              <w:ind w:left="600"/>
              <w:spacing w:after="0" w:line="135" w:lineRule="exact"/>
              <w:rPr>
                <w:sz w:val="20"/>
                <w:szCs w:val="20"/>
                <w:color w:val="auto"/>
              </w:rPr>
            </w:pPr>
            <w:r>
              <w:rPr>
                <w:rFonts w:ascii="Arial" w:cs="Arial" w:eastAsia="Arial" w:hAnsi="Arial"/>
                <w:sz w:val="12"/>
                <w:szCs w:val="12"/>
                <w:color w:val="auto"/>
              </w:rPr>
              <w:t>n/a</w:t>
            </w:r>
          </w:p>
        </w:tc>
        <w:tc>
          <w:tcPr>
            <w:tcW w:w="1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140" w:type="dxa"/>
            <w:vAlign w:val="bottom"/>
            <w:gridSpan w:val="3"/>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(133)</w:t>
            </w:r>
          </w:p>
        </w:tc>
        <w:tc>
          <w:tcPr>
            <w:tcW w:w="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(133)</w:t>
            </w:r>
          </w:p>
        </w:tc>
        <w:tc>
          <w:tcPr>
            <w:tcW w:w="11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4"/>
              </w:rPr>
              <w:t>Other Liabilities</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360" w:type="dxa"/>
            <w:vAlign w:val="bottom"/>
            <w:gridSpan w:val="3"/>
          </w:tcPr>
          <w:p>
            <w:pPr>
              <w:jc w:val="right"/>
              <w:ind w:right="160"/>
              <w:spacing w:after="0" w:line="135" w:lineRule="exact"/>
              <w:rPr>
                <w:sz w:val="20"/>
                <w:szCs w:val="20"/>
                <w:color w:val="auto"/>
              </w:rPr>
            </w:pPr>
            <w:r>
              <w:rPr>
                <w:rFonts w:ascii="Arial" w:cs="Arial" w:eastAsia="Arial" w:hAnsi="Arial"/>
                <w:sz w:val="12"/>
                <w:szCs w:val="12"/>
                <w:i w:val="1"/>
                <w:iCs w:val="1"/>
                <w:color w:val="auto"/>
              </w:rPr>
              <w:t>Interest rate caps:</w:t>
            </w:r>
          </w:p>
        </w:tc>
        <w:tc>
          <w:tcPr>
            <w:tcW w:w="1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6,000</w:t>
            </w:r>
          </w:p>
        </w:tc>
        <w:tc>
          <w:tcPr>
            <w:tcW w:w="13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September 2009</w:t>
            </w:r>
          </w:p>
        </w:tc>
        <w:tc>
          <w:tcPr>
            <w:tcW w:w="126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September 2014</w:t>
            </w:r>
          </w:p>
        </w:tc>
        <w:tc>
          <w:tcPr>
            <w:tcW w:w="860" w:type="dxa"/>
            <w:vAlign w:val="bottom"/>
            <w:shd w:val="clear" w:color="auto" w:fill="CCEEFF"/>
          </w:tcPr>
          <w:p>
            <w:pPr>
              <w:jc w:val="center"/>
              <w:ind w:left="142"/>
              <w:spacing w:after="0" w:line="135" w:lineRule="exact"/>
              <w:rPr>
                <w:sz w:val="20"/>
                <w:szCs w:val="20"/>
                <w:color w:val="auto"/>
              </w:rPr>
            </w:pPr>
            <w:r>
              <w:rPr>
                <w:rFonts w:ascii="Arial" w:cs="Arial" w:eastAsia="Arial" w:hAnsi="Arial"/>
                <w:sz w:val="12"/>
                <w:szCs w:val="12"/>
                <w:color w:val="auto"/>
                <w:w w:val="95"/>
              </w:rPr>
              <w:t>3 Mo. LIBOR</w:t>
            </w:r>
          </w:p>
        </w:tc>
        <w:tc>
          <w:tcPr>
            <w:tcW w:w="118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n/a</w:t>
            </w:r>
          </w:p>
        </w:tc>
        <w:tc>
          <w:tcPr>
            <w:tcW w:w="70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n/a</w:t>
            </w:r>
          </w:p>
        </w:tc>
        <w:tc>
          <w:tcPr>
            <w:tcW w:w="88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w w:val="93"/>
              </w:rPr>
              <w:t>2.51%</w:t>
            </w: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(16)</w:t>
            </w: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Other Assets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w w:val="73"/>
              </w:rPr>
              <w:t>)</w:t>
            </w: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360" w:type="dxa"/>
            <w:vAlign w:val="bottom"/>
            <w:gridSpan w:val="3"/>
          </w:tcPr>
          <w:p>
            <w:pPr>
              <w:jc w:val="right"/>
              <w:ind w:right="160"/>
              <w:spacing w:after="0"/>
              <w:rPr>
                <w:sz w:val="20"/>
                <w:szCs w:val="20"/>
                <w:color w:val="auto"/>
              </w:rPr>
            </w:pPr>
            <w:r>
              <w:rPr>
                <w:rFonts w:ascii="Arial" w:cs="Arial" w:eastAsia="Arial" w:hAnsi="Arial"/>
                <w:sz w:val="12"/>
                <w:szCs w:val="12"/>
                <w:color w:val="auto"/>
              </w:rPr>
              <w:t>31,000</w:t>
            </w:r>
          </w:p>
        </w:tc>
        <w:tc>
          <w:tcPr>
            <w:tcW w:w="1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(664</w:t>
            </w:r>
          </w:p>
        </w:tc>
        <w:tc>
          <w:tcPr>
            <w:tcW w:w="100" w:type="dxa"/>
            <w:vAlign w:val="bottom"/>
            <w:vMerge w:val="continue"/>
          </w:tcPr>
          <w:p>
            <w:pPr>
              <w:spacing w:after="0"/>
              <w:rPr>
                <w:sz w:val="12"/>
                <w:szCs w:val="1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(714</w:t>
            </w:r>
          </w:p>
        </w:tc>
        <w:tc>
          <w:tcPr>
            <w:tcW w:w="1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three and six months ended December 31, 2014 and 2013,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and six months ended December 31, 2014 and 2013 related to the balance sheet hedging of variable rate debt indicates that the hedges were effective.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(loss)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 December 31,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120" w:type="dxa"/>
            <w:vAlign w:val="bottom"/>
          </w:tcPr>
          <w:p>
            <w:pPr>
              <w:spacing w:after="0"/>
              <w:rPr>
                <w:sz w:val="10"/>
                <w:szCs w:val="10"/>
                <w:color w:val="auto"/>
              </w:rPr>
            </w:pPr>
          </w:p>
        </w:tc>
        <w:tc>
          <w:tcPr>
            <w:tcW w:w="104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After-tax</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Tax Expense</w:t>
            </w:r>
          </w:p>
        </w:tc>
        <w:tc>
          <w:tcPr>
            <w:tcW w:w="180" w:type="dxa"/>
            <w:vAlign w:val="bottom"/>
          </w:tcPr>
          <w:p>
            <w:pPr>
              <w:spacing w:after="0"/>
              <w:rPr>
                <w:sz w:val="10"/>
                <w:szCs w:val="10"/>
                <w:color w:val="auto"/>
              </w:rPr>
            </w:pPr>
          </w:p>
        </w:tc>
        <w:tc>
          <w:tcPr>
            <w:tcW w:w="94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After-tax</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(Benefit)</w:t>
            </w:r>
          </w:p>
        </w:tc>
        <w:tc>
          <w:tcPr>
            <w:tcW w:w="1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r>
      <w:tr>
        <w:trPr>
          <w:trHeight w:val="142"/>
        </w:trPr>
        <w:tc>
          <w:tcPr>
            <w:tcW w:w="3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340" w:type="dxa"/>
            <w:vAlign w:val="bottom"/>
          </w:tcPr>
          <w:p>
            <w:pPr>
              <w:spacing w:after="0" w:line="182" w:lineRule="exact"/>
              <w:rPr>
                <w:sz w:val="20"/>
                <w:szCs w:val="20"/>
                <w:color w:val="auto"/>
              </w:rPr>
            </w:pPr>
            <w:r>
              <w:rPr>
                <w:rFonts w:ascii="Arial" w:cs="Arial" w:eastAsia="Arial" w:hAnsi="Arial"/>
                <w:sz w:val="18"/>
                <w:szCs w:val="18"/>
                <w:color w:val="auto"/>
              </w:rPr>
              <w:t>Change in accumulated loss on effective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cash flow hedges</w:t>
            </w: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and hedging activities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18"/>
                <w:szCs w:val="18"/>
                <w:color w:val="auto"/>
              </w:rPr>
            </w:pPr>
          </w:p>
        </w:tc>
      </w:tr>
      <w:tr>
        <w:trPr>
          <w:trHeight w:val="22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2"/>
              </w:rPr>
              <w:t>Six Months Ended December 31,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120" w:type="dxa"/>
            <w:vAlign w:val="bottom"/>
          </w:tcPr>
          <w:p>
            <w:pPr>
              <w:spacing w:after="0"/>
              <w:rPr>
                <w:sz w:val="10"/>
                <w:szCs w:val="10"/>
                <w:color w:val="auto"/>
              </w:rPr>
            </w:pPr>
          </w:p>
        </w:tc>
        <w:tc>
          <w:tcPr>
            <w:tcW w:w="104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After-tax</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Tax Expense</w:t>
            </w:r>
          </w:p>
        </w:tc>
        <w:tc>
          <w:tcPr>
            <w:tcW w:w="180" w:type="dxa"/>
            <w:vAlign w:val="bottom"/>
          </w:tcPr>
          <w:p>
            <w:pPr>
              <w:spacing w:after="0"/>
              <w:rPr>
                <w:sz w:val="10"/>
                <w:szCs w:val="10"/>
                <w:color w:val="auto"/>
              </w:rPr>
            </w:pPr>
          </w:p>
        </w:tc>
        <w:tc>
          <w:tcPr>
            <w:tcW w:w="94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After-tax</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(Benefit)</w:t>
            </w:r>
          </w:p>
        </w:tc>
        <w:tc>
          <w:tcPr>
            <w:tcW w:w="1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r>
      <w:tr>
        <w:trPr>
          <w:trHeight w:val="142"/>
        </w:trPr>
        <w:tc>
          <w:tcPr>
            <w:tcW w:w="3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340" w:type="dxa"/>
            <w:vAlign w:val="bottom"/>
          </w:tcPr>
          <w:p>
            <w:pPr>
              <w:spacing w:after="0" w:line="182" w:lineRule="exact"/>
              <w:rPr>
                <w:sz w:val="20"/>
                <w:szCs w:val="20"/>
                <w:color w:val="auto"/>
              </w:rPr>
            </w:pPr>
            <w:r>
              <w:rPr>
                <w:rFonts w:ascii="Arial" w:cs="Arial" w:eastAsia="Arial" w:hAnsi="Arial"/>
                <w:sz w:val="18"/>
                <w:szCs w:val="18"/>
                <w:color w:val="auto"/>
              </w:rPr>
              <w:t>Change in accumulated loss on effective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cash flow hedges</w:t>
            </w: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and hedging activities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18"/>
                <w:szCs w:val="18"/>
                <w:color w:val="auto"/>
              </w:rPr>
            </w:pPr>
          </w:p>
        </w:tc>
      </w:tr>
      <w:tr>
        <w:trPr>
          <w:trHeight w:val="22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comprised of the following.</w:t>
      </w:r>
    </w:p>
    <w:p>
      <w:pPr>
        <w:sectPr>
          <w:pgSz w:w="11900" w:h="16838" w:orient="portrait"/>
          <w:cols w:equalWidth="0" w:num="1">
            <w:col w:w="11420"/>
          </w:cols>
          <w:pgMar w:left="240" w:top="368" w:right="239" w:bottom="0" w:gutter="0" w:footer="0" w:header="0"/>
        </w:sectPr>
      </w:pPr>
    </w:p>
    <w:p>
      <w:pPr>
        <w:spacing w:after="0" w:line="217" w:lineRule="exact"/>
        <w:rPr>
          <w:sz w:val="20"/>
          <w:szCs w:val="20"/>
          <w:color w:val="auto"/>
        </w:rPr>
      </w:pPr>
    </w:p>
    <w:p>
      <w:pPr>
        <w:ind w:left="4980"/>
        <w:spacing w:after="0"/>
        <w:tabs>
          <w:tab w:leader="none" w:pos="6760" w:val="left"/>
        </w:tabs>
        <w:rPr>
          <w:sz w:val="20"/>
          <w:szCs w:val="20"/>
          <w:color w:val="auto"/>
        </w:rPr>
      </w:pPr>
      <w:r>
        <w:rPr>
          <w:rFonts w:ascii="Arial" w:cs="Arial" w:eastAsia="Arial" w:hAnsi="Arial"/>
          <w:sz w:val="14"/>
          <w:szCs w:val="14"/>
          <w:b w:val="1"/>
          <w:bCs w:val="1"/>
          <w:color w:val="auto"/>
        </w:rPr>
        <w:t>December 31, 2014</w:t>
      </w:r>
      <w:r>
        <w:rPr>
          <w:sz w:val="20"/>
          <w:szCs w:val="20"/>
          <w:color w:val="auto"/>
        </w:rPr>
        <w:tab/>
      </w:r>
      <w:r>
        <w:rPr>
          <w:rFonts w:ascii="Arial" w:cs="Arial" w:eastAsia="Arial" w:hAnsi="Arial"/>
          <w:sz w:val="12"/>
          <w:szCs w:val="12"/>
          <w:b w:val="1"/>
          <w:bCs w:val="1"/>
          <w:color w:val="auto"/>
        </w:rPr>
        <w:t>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6350</wp:posOffset>
            </wp:positionV>
            <wp:extent cx="19037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type w:val="continuous"/>
        </w:sectPr>
      </w:pPr>
    </w:p>
    <w:bookmarkStart w:id="18" w:name="page19"/>
    <w:bookmarkEnd w:id="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11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(1,016)</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3480" w:type="dxa"/>
            <w:vAlign w:val="bottom"/>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7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3480" w:type="dxa"/>
            <w:vAlign w:val="bottom"/>
          </w:tcPr>
          <w:p>
            <w:pPr>
              <w:spacing w:after="0"/>
              <w:rPr>
                <w:sz w:val="18"/>
                <w:szCs w:val="18"/>
                <w:color w:val="auto"/>
              </w:rPr>
            </w:pPr>
          </w:p>
        </w:tc>
      </w:tr>
      <w:tr>
        <w:trPr>
          <w:trHeight w:val="210"/>
        </w:trPr>
        <w:tc>
          <w:tcPr>
            <w:tcW w:w="4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Net-of-tax amount</w:t>
            </w:r>
          </w:p>
        </w:tc>
        <w:tc>
          <w:tcPr>
            <w:tcW w:w="7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top w:val="single" w:sz="8" w:color="CCEEFF"/>
            </w:tcBorders>
            <w:shd w:val="clear" w:color="auto" w:fill="CCEEFF"/>
          </w:tcPr>
          <w:p>
            <w:pPr>
              <w:spacing w:after="0"/>
              <w:rPr>
                <w:sz w:val="18"/>
                <w:szCs w:val="18"/>
                <w:color w:val="auto"/>
              </w:rPr>
            </w:pPr>
          </w:p>
        </w:tc>
        <w:tc>
          <w:tcPr>
            <w:tcW w:w="348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(1,471)</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w:t>
            </w: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3480" w:type="dxa"/>
            <w:vAlign w:val="bottom"/>
          </w:tcPr>
          <w:p>
            <w:pPr>
              <w:spacing w:after="0"/>
              <w:rPr>
                <w:sz w:val="18"/>
                <w:szCs w:val="18"/>
                <w:color w:val="auto"/>
              </w:rPr>
            </w:pPr>
          </w:p>
        </w:tc>
      </w:tr>
      <w:tr>
        <w:trPr>
          <w:trHeight w:val="210"/>
        </w:trPr>
        <w:tc>
          <w:tcPr>
            <w:tcW w:w="4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Net-of-tax amount</w:t>
            </w:r>
          </w:p>
        </w:tc>
        <w:tc>
          <w:tcPr>
            <w:tcW w:w="7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2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tcPr>
          <w:p>
            <w:pPr>
              <w:spacing w:after="0"/>
              <w:rPr>
                <w:sz w:val="18"/>
                <w:szCs w:val="18"/>
                <w:color w:val="auto"/>
              </w:rPr>
            </w:pPr>
          </w:p>
        </w:tc>
        <w:tc>
          <w:tcPr>
            <w:tcW w:w="3480" w:type="dxa"/>
            <w:vAlign w:val="bottom"/>
          </w:tcPr>
          <w:p>
            <w:pPr>
              <w:spacing w:after="0"/>
              <w:rPr>
                <w:sz w:val="18"/>
                <w:szCs w:val="18"/>
                <w:color w:val="auto"/>
              </w:rPr>
            </w:pPr>
          </w:p>
        </w:tc>
      </w:tr>
      <w:tr>
        <w:trPr>
          <w:trHeight w:val="223"/>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7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352"/>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32"/>
        </w:trPr>
        <w:tc>
          <w:tcPr>
            <w:tcW w:w="41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4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5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157"/>
              <w:spacing w:after="0"/>
              <w:rPr>
                <w:sz w:val="20"/>
                <w:szCs w:val="20"/>
                <w:color w:val="auto"/>
              </w:rPr>
            </w:pPr>
            <w:r>
              <w:rPr>
                <w:rFonts w:ascii="Arial" w:cs="Arial" w:eastAsia="Arial" w:hAnsi="Arial"/>
                <w:sz w:val="14"/>
                <w:szCs w:val="14"/>
                <w:b w:val="1"/>
                <w:bCs w:val="1"/>
                <w:color w:val="auto"/>
                <w:w w:val="90"/>
              </w:rPr>
              <w:t>December 31, 2014</w:t>
            </w:r>
          </w:p>
        </w:tc>
        <w:tc>
          <w:tcPr>
            <w:tcW w:w="32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June 30, 2014</w:t>
            </w:r>
          </w:p>
        </w:tc>
      </w:tr>
      <w:tr>
        <w:trPr>
          <w:trHeight w:val="142"/>
        </w:trPr>
        <w:tc>
          <w:tcPr>
            <w:tcW w:w="3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3"/>
          </w:tcPr>
          <w:p>
            <w:pPr>
              <w:jc w:val="right"/>
              <w:ind w:right="73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17,656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14,282</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Unused lines of credit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32,543</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34,657</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$30 thousand recorded in other liabilities at both December 31, 2014 and June 30,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229" w:lineRule="exact"/>
        <w:rPr>
          <w:rFonts w:ascii="Arial" w:cs="Arial" w:eastAsia="Arial" w:hAnsi="Arial"/>
          <w:sz w:val="18"/>
          <w:szCs w:val="18"/>
          <w:b w:val="1"/>
          <w:bCs w:val="1"/>
          <w:color w:val="auto"/>
        </w:rPr>
      </w:pPr>
    </w:p>
    <w:p>
      <w:pPr>
        <w:jc w:val="both"/>
        <w:ind w:left="34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concluded all investment brokerage activities in the second quarter of Fiscal 2014. Accordingly, operations associated with these activities have been classified as discontinued operations in the accompanying consolidated statements of income. The following summarizes the operations of the Company’s investment brokerage division for the three and six months ended December 31, 2014 and 2013.</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Six Months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100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5"/>
          </w:tcPr>
          <w:p>
            <w:pPr>
              <w:jc w:val="right"/>
              <w:ind w:right="428"/>
              <w:spacing w:after="0" w:line="142"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Investment commissions</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112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income</w:t>
            </w:r>
          </w:p>
        </w:tc>
        <w:tc>
          <w:tcPr>
            <w:tcW w:w="10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tcPr>
          <w:p>
            <w:pPr>
              <w:spacing w:after="0"/>
              <w:rPr>
                <w:sz w:val="18"/>
                <w:szCs w:val="18"/>
                <w:color w:val="auto"/>
              </w:rPr>
            </w:pPr>
          </w:p>
        </w:tc>
      </w:tr>
      <w:tr>
        <w:trPr>
          <w:trHeight w:val="210"/>
        </w:trPr>
        <w:tc>
          <w:tcPr>
            <w:tcW w:w="3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Noninterest expense:</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Occupancy and equipment expense</w:t>
            </w:r>
          </w:p>
        </w:tc>
        <w:tc>
          <w:tcPr>
            <w:tcW w:w="100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Data processing fees</w:t>
            </w: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Marketing expense</w:t>
            </w:r>
          </w:p>
        </w:tc>
        <w:tc>
          <w:tcPr>
            <w:tcW w:w="100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expense</w:t>
            </w: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10"/>
        </w:trPr>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expense</w:t>
            </w:r>
          </w:p>
        </w:tc>
        <w:tc>
          <w:tcPr>
            <w:tcW w:w="10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tcPr>
          <w:p>
            <w:pPr>
              <w:spacing w:after="0"/>
              <w:rPr>
                <w:sz w:val="18"/>
                <w:szCs w:val="18"/>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tax</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185"/>
        </w:trPr>
        <w:tc>
          <w:tcPr>
            <w:tcW w:w="3080" w:type="dxa"/>
            <w:vAlign w:val="bottom"/>
            <w:tcBorders>
              <w:top w:val="single" w:sz="8" w:color="CCEEFF"/>
            </w:tcBorders>
            <w:shd w:val="clear" w:color="auto" w:fill="CCEEFF"/>
          </w:tcPr>
          <w:p>
            <w:pPr>
              <w:spacing w:after="0" w:line="185" w:lineRule="exact"/>
              <w:rPr>
                <w:sz w:val="20"/>
                <w:szCs w:val="20"/>
                <w:color w:val="auto"/>
              </w:rPr>
            </w:pPr>
            <w:r>
              <w:rPr>
                <w:rFonts w:ascii="Arial" w:cs="Arial" w:eastAsia="Arial" w:hAnsi="Arial"/>
                <w:sz w:val="18"/>
                <w:szCs w:val="18"/>
                <w:color w:val="auto"/>
              </w:rPr>
              <w:t>Net (loss) income</w:t>
            </w:r>
          </w:p>
        </w:tc>
        <w:tc>
          <w:tcPr>
            <w:tcW w:w="10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ectPr>
          <w:pgSz w:w="11900" w:h="16900" w:orient="portrait"/>
          <w:cols w:equalWidth="0" w:num="1">
            <w:col w:w="11460"/>
          </w:cols>
          <w:pgMar w:left="240" w:top="118" w:right="199" w:bottom="0" w:gutter="0" w:footer="0" w:header="0"/>
        </w:sectPr>
      </w:pPr>
    </w:p>
    <w:bookmarkStart w:id="19" w:name="page20"/>
    <w:bookmarkEnd w:id="19"/>
    <w:p>
      <w:pPr>
        <w:ind w:left="3420"/>
        <w:spacing w:after="0"/>
        <w:tabs>
          <w:tab w:leader="none" w:pos="4580" w:val="left"/>
          <w:tab w:leader="none" w:pos="5060" w:val="left"/>
          <w:tab w:leader="none" w:pos="6200" w:val="left"/>
          <w:tab w:leader="none" w:pos="6740" w:val="left"/>
          <w:tab w:leader="none" w:pos="7920" w:val="left"/>
          <w:tab w:leader="none" w:pos="8380" w:val="left"/>
          <w:tab w:leader="none" w:pos="9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037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7580" cy="163195"/>
                    </a:xfrm>
                    <a:prstGeom prst="rect">
                      <a:avLst/>
                    </a:prstGeom>
                    <a:noFill/>
                  </pic:spPr>
                </pic:pic>
              </a:graphicData>
            </a:graphic>
          </wp:anchor>
        </w:drawing>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2014,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the effects of continuing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of compromises or breaches to our security systems;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2014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(the “Bureau”) and the FDIC.</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All other commitments made to the Federal Reserve in connection with the merger remain unchanged. The Company and the Bank are currently in compliance with all commitments to the Federal Reserve. Company’s compliance ratios at December 31, 2014 follow.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r>
      <w:tr>
        <w:trPr>
          <w:trHeight w:val="523"/>
        </w:trPr>
        <w:tc>
          <w:tcPr>
            <w:tcW w:w="54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85"/>
        </w:trPr>
        <w:tc>
          <w:tcPr>
            <w:tcW w:w="128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4"/>
                <w:szCs w:val="14"/>
                <w:b w:val="1"/>
                <w:bCs w:val="1"/>
                <w:color w:val="auto"/>
              </w:rPr>
              <w:t>Condition</w:t>
            </w:r>
          </w:p>
        </w:tc>
        <w:tc>
          <w:tcPr>
            <w:tcW w:w="4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Ratios at December 31, 2014</w:t>
            </w:r>
          </w:p>
        </w:tc>
        <w:tc>
          <w:tcPr>
            <w:tcW w:w="160" w:type="dxa"/>
            <w:vAlign w:val="bottom"/>
            <w:tcBorders>
              <w:bottom w:val="single" w:sz="8" w:color="CCEEFF"/>
            </w:tcBorders>
          </w:tcPr>
          <w:p>
            <w:pPr>
              <w:spacing w:after="0"/>
              <w:rPr>
                <w:sz w:val="24"/>
                <w:szCs w:val="24"/>
                <w:color w:val="auto"/>
              </w:rPr>
            </w:pPr>
          </w:p>
        </w:tc>
        <w:tc>
          <w:tcPr>
            <w:tcW w:w="2720" w:type="dxa"/>
            <w:vAlign w:val="bottom"/>
          </w:tcPr>
          <w:p>
            <w:pPr>
              <w:spacing w:after="0"/>
              <w:rPr>
                <w:sz w:val="24"/>
                <w:szCs w:val="24"/>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  Tier 1 leverage ratio</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720" w:type="dxa"/>
            <w:vAlign w:val="bottom"/>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(ii) Total risk-based capital ratio</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21.44%</w:t>
            </w:r>
          </w:p>
        </w:tc>
        <w:tc>
          <w:tcPr>
            <w:tcW w:w="272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(iii) Ratio of purchased loans to total loans, including loans held for sale</w:t>
            </w:r>
          </w:p>
        </w:tc>
        <w:tc>
          <w:tcPr>
            <w:tcW w:w="3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2720" w:type="dxa"/>
            <w:vAlign w:val="bottom"/>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(iv) Ratio of loans to core deposits (1)</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91.79%</w:t>
            </w:r>
          </w:p>
        </w:tc>
        <w:tc>
          <w:tcPr>
            <w:tcW w:w="272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 Ratio of commercial real estate loans to total risk-based capital (2)</w:t>
            </w:r>
          </w:p>
        </w:tc>
        <w:tc>
          <w:tcPr>
            <w:tcW w:w="3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190.05%</w:t>
            </w:r>
          </w:p>
        </w:tc>
        <w:tc>
          <w:tcPr>
            <w:tcW w:w="2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-1313815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-1313815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0" w:name="page21"/>
    <w:bookmarkEnd w:id="20"/>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t>Core deposits include all non-maturity deposits and maturity deposits less than $250 thousand</w:t>
      </w:r>
    </w:p>
    <w:p>
      <w:pPr>
        <w:spacing w:after="0" w:line="23" w:lineRule="exact"/>
        <w:rPr>
          <w:rFonts w:ascii="Arial" w:cs="Arial" w:eastAsia="Arial" w:hAnsi="Arial"/>
          <w:sz w:val="18"/>
          <w:szCs w:val="18"/>
          <w:color w:val="auto"/>
        </w:rPr>
      </w:pPr>
    </w:p>
    <w:p>
      <w:pPr>
        <w:ind w:right="880" w:firstLine="8"/>
        <w:spacing w:after="0" w:line="261"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those loans defined as such by regulatory guidance, including all land development and construction loans.</w:t>
      </w:r>
    </w:p>
    <w:p>
      <w:pPr>
        <w:spacing w:after="0" w:line="184"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As of December 31, 2014, the Company, on a consolidated basis, had total assets of $810.0 million, total deposits of $631.7 million, and shareholders’ equity of $110.9 million. The Company gathers retail deposits through its banking offices in Maine and its online affinity deposit program, ableBanking; originates loans through the Bank’s Community Banking Division; and purchases and originates commercial loans through the Bank’s Loan Acquisition and Servicing Group (“LASG”). The Community Banking Division, with ten full-service branches and two loan production offices, operates from the Bank’s headquarters in Lewiston, Maine. The Company operates ableBanking and the LASG from its offices in Boston, Massachusetts.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i w:val="1"/>
          <w:iCs w:val="1"/>
          <w:color w:val="auto"/>
        </w:rPr>
        <w:t>Measured growth of our national commercial loan portfolio</w:t>
      </w:r>
      <w:r>
        <w:rPr>
          <w:rFonts w:ascii="Arial" w:cs="Arial" w:eastAsia="Arial" w:hAnsi="Arial"/>
          <w:sz w:val="18"/>
          <w:szCs w:val="18"/>
          <w:color w:val="auto"/>
        </w:rPr>
        <w:t>. The Company purchases performing commercial real estate loans, on a nationwide basis,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at a discount from their outstanding principal balances, producing yields higher than those normally achieved on our originated loan portfolio. These loans are purchased from a variety of sources, including banks, insurance companies, investment funds and government agencies, either directly or indirectly through a loan sale advisor. We also originate commercial real estate and commercial business loans on a nationwide basis. We expect national originations to become an area of increasing focus for the Company, and in particular the origination of loans guaranteed by the Small Business Administration (“SBA”). As of December 31, 2014, the Company serviced SBA loans with an unpaid principal balance of $52.6 million, of which $37.3 million was held by third parties.</w:t>
      </w:r>
    </w:p>
    <w:p>
      <w:pPr>
        <w:spacing w:after="0" w:line="1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Focus on core deposits</w:t>
      </w:r>
      <w:r>
        <w:rPr>
          <w:rFonts w:ascii="Arial" w:cs="Arial" w:eastAsia="Arial" w:hAnsi="Arial"/>
          <w:sz w:val="18"/>
          <w:szCs w:val="18"/>
          <w:color w:val="auto"/>
        </w:rPr>
        <w:t>. The Company offers a full line of deposit products to customers in the Community Banking Division’s market area through its ten-branch network. In addition, we utilize our online deposit program, ableBanking, a division of Northeast Bank, to provide an additional channel through which to raise core deposits to fund the Company’s asset strategy.</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Continuing our community banking tradition. </w:t>
      </w:r>
      <w:r>
        <w:rPr>
          <w:rFonts w:ascii="Arial" w:cs="Arial" w:eastAsia="Arial" w:hAnsi="Arial"/>
          <w:sz w:val="18"/>
          <w:szCs w:val="18"/>
          <w:color w:val="auto"/>
        </w:rPr>
        <w:t>The Community Banking Division retains a high degree of local autonomy and operational flexibility to better</w:t>
      </w:r>
      <w:r>
        <w:rPr>
          <w:rFonts w:ascii="Arial" w:cs="Arial" w:eastAsia="Arial" w:hAnsi="Arial"/>
          <w:sz w:val="18"/>
          <w:szCs w:val="18"/>
          <w:i w:val="1"/>
          <w:iCs w:val="1"/>
          <w:color w:val="auto"/>
        </w:rPr>
        <w:t xml:space="preserve"> </w:t>
      </w:r>
      <w:r>
        <w:rPr>
          <w:rFonts w:ascii="Arial" w:cs="Arial" w:eastAsia="Arial" w:hAnsi="Arial"/>
          <w:sz w:val="18"/>
          <w:szCs w:val="18"/>
          <w:color w:val="auto"/>
        </w:rPr>
        <w:t>serve its customers. The Community Banking Division’s focus on sales and service allows us to attract and retain core deposits in support of balance sheet growth, and to continue to generate new commercial and residential mortgage loans.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2014 to gain a better understanding of how Northeast’s financial performance is measured and reported. There has been no material change in critical accounting policies during the six months ended December 31, 2014.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income from continuing operations was $1.6 million, or $0.16 per diluted common share, for the quarter ended December 31, 2014, compared to $1.4 million, or $0.13 per diluted common share, for the quarter ended December 31, 2013. The current quarter included $55 thousand of expenses related to severance, and excluding these items, which the Company considers to be non-core, net operating earnings were $1.6 million, or $0.16 per diluted common share.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income from continuing operations was $3.2 million, or $0.32 per diluted common share, for the six months ended December 31, 2014, compared to $1.7 million, or $0.16 per diluted common share, for the six months ended December 31, 2013. The current six month period included $166 thousand of expenses related to severance, and excluding these items, which the Company considers to be non-core, net operating earnings were $3.3 million, or $0.33 per diluted common share.</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interest and dividend income before provision increased by $409 thousand, or 4.5%, to $9.4 million for the quarter ended December 31, 2014 compared to the quarter ended December 31, 2013, due primarily to higher transactional interest income from purchased loan payoffs and the positive effect of balance sheet growth..</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Noninterest income increased by $535 thousand for the quarter ended December 31, 2014, compared to the quarter ended December 31, 2013, principally due to the following:</w:t>
      </w:r>
    </w:p>
    <w:p>
      <w:pPr>
        <w:spacing w:after="0" w:line="170" w:lineRule="exact"/>
        <w:rPr>
          <w:sz w:val="20"/>
          <w:szCs w:val="20"/>
          <w:color w:val="auto"/>
        </w:rPr>
      </w:pPr>
    </w:p>
    <w:p>
      <w:pPr>
        <w:jc w:val="both"/>
        <w:ind w:left="1300" w:right="80" w:hanging="320"/>
        <w:spacing w:after="0" w:line="256"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$432 thousand in gain on sales of portfolio loans, realized primarily on the sale of the guaranteed portion of SBA loans. The Company recognized $445 thousand in gains on SBA loans sold for the three months ended December 31, 2014, compared to no SBA gain for the quarter ended December 31, 2013; and</w:t>
      </w:r>
    </w:p>
    <w:p>
      <w:pPr>
        <w:ind w:left="1300" w:right="120" w:hanging="320"/>
        <w:spacing w:after="0" w:line="261"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$106 thousand in gains realized on sale of residential loans originated for sale in the secondary market, due principally to an increase in purchase-related mortgage loan activity in the current period.</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Noninterest expense increased by $596 thousand for the quarter ended December 31, 2014, compared to the quarter ended December 31, 2013, principally due to the following:</w:t>
      </w:r>
    </w:p>
    <w:p>
      <w:pPr>
        <w:spacing w:after="0" w:line="170" w:lineRule="exact"/>
        <w:rPr>
          <w:sz w:val="20"/>
          <w:szCs w:val="20"/>
          <w:color w:val="auto"/>
        </w:rPr>
      </w:pPr>
    </w:p>
    <w:p>
      <w:pPr>
        <w:ind w:left="660" w:hanging="328"/>
        <w:spacing w:after="0" w:line="258"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$484 thousand in salaries and employee benefits, principally due to increased employee head count and incentive compensation, offset by a decrease in group insurance expense and employee stock options expense;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$177 thousand in professional fees, due primarily to fees for temporary consulting services;</w:t>
      </w:r>
    </w:p>
    <w:p>
      <w:pPr>
        <w:sectPr>
          <w:pgSz w:w="11900" w:h="16838" w:orient="portrait"/>
          <w:cols w:equalWidth="0" w:num="1">
            <w:col w:w="11420"/>
          </w:cols>
          <w:pgMar w:left="240" w:top="247" w:right="239" w:bottom="0" w:gutter="0" w:footer="0" w:header="0"/>
        </w:sectPr>
      </w:pPr>
    </w:p>
    <w:bookmarkStart w:id="21" w:name="page22"/>
    <w:bookmarkEnd w:id="21"/>
    <w:p>
      <w:pPr>
        <w:spacing w:after="0" w:line="29" w:lineRule="exact"/>
        <w:rPr>
          <w:sz w:val="20"/>
          <w:szCs w:val="20"/>
          <w:color w:val="auto"/>
        </w:rPr>
      </w:pPr>
    </w:p>
    <w:p>
      <w:pPr>
        <w:ind w:left="660" w:right="360" w:hanging="328"/>
        <w:spacing w:after="0" w:line="258"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$123 thousand in loan acquisition and collection expenses, due in part to an increased level of loan purchases in the quarter ended December 31, 2014 when compared to the quarter ended December 31, 2013; and</w:t>
      </w:r>
    </w:p>
    <w:p>
      <w:pPr>
        <w:spacing w:after="0" w:line="1" w:lineRule="exact"/>
        <w:rPr>
          <w:rFonts w:ascii="Arial" w:cs="Arial" w:eastAsia="Arial" w:hAnsi="Arial"/>
          <w:sz w:val="18"/>
          <w:szCs w:val="18"/>
          <w:color w:val="auto"/>
        </w:rPr>
      </w:pPr>
    </w:p>
    <w:p>
      <w:pPr>
        <w:ind w:left="660" w:right="20" w:hanging="328"/>
        <w:spacing w:after="0" w:line="255"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$130 thousand in occupancy and equipment expense, the result of a reduction in software maintenance and depreciation expense following the conversion of the Bank’s core systems platform to an outsourced model in May 2014. The decrease in equipment expense was offset in part by higher data processing fees, which increased by $70 thousand.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assets increased by $48.1 million, or 6.3%, to $810.0 million at December 31, 2014, compared to June 30, 2014. The principal components of the change in the balance sheet were as follows:</w:t>
      </w:r>
    </w:p>
    <w:p>
      <w:pPr>
        <w:spacing w:after="0" w:line="170" w:lineRule="exact"/>
        <w:rPr>
          <w:sz w:val="20"/>
          <w:szCs w:val="20"/>
          <w:color w:val="auto"/>
        </w:rPr>
      </w:pPr>
    </w:p>
    <w:p>
      <w:pPr>
        <w:ind w:left="660" w:right="80" w:hanging="328"/>
        <w:spacing w:after="0" w:line="264"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loan portfolio — excluding loans held for sale — grew by $58.9 million, or 11.4%, compared to June 30, 2014, the result of net growth of $65.9 million in commercial loans purchased or originated by the Bank’s Loan Acquisition and Servicing Group (“LASG”), offset by a $7.0 million decrease in the Bank’s Community Banking Division loan portfolio.</w:t>
      </w:r>
    </w:p>
    <w:p>
      <w:pPr>
        <w:spacing w:after="0" w:line="181" w:lineRule="exact"/>
        <w:rPr>
          <w:sz w:val="20"/>
          <w:szCs w:val="20"/>
          <w:color w:val="auto"/>
        </w:rPr>
      </w:pPr>
    </w:p>
    <w:p>
      <w:pPr>
        <w:jc w:val="both"/>
        <w:ind w:left="660" w:right="120"/>
        <w:spacing w:after="0" w:line="286" w:lineRule="auto"/>
        <w:rPr>
          <w:sz w:val="20"/>
          <w:szCs w:val="20"/>
          <w:color w:val="auto"/>
        </w:rPr>
      </w:pPr>
      <w:r>
        <w:rPr>
          <w:rFonts w:ascii="Arial" w:cs="Arial" w:eastAsia="Arial" w:hAnsi="Arial"/>
          <w:sz w:val="17"/>
          <w:szCs w:val="17"/>
          <w:color w:val="auto"/>
        </w:rPr>
        <w:t>New loans generated by the LASG totaled $68.2 million and $121.7 million for the three and six-month periods, respectively, ending December 31, 2014. The quarterly growth in LASG loans consisted of $39.7 million in purchases, at an average price of 85.7%, and $28.5 million in originations. Residential and consumer loan production sold in the secondary market totaled $26.0 million for the quarter.</w:t>
      </w:r>
    </w:p>
    <w:p>
      <w:pPr>
        <w:spacing w:after="0" w:line="166"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As noted above in the “</w:t>
      </w:r>
      <w:r>
        <w:rPr>
          <w:rFonts w:ascii="Arial" w:cs="Arial" w:eastAsia="Arial" w:hAnsi="Arial"/>
          <w:sz w:val="18"/>
          <w:szCs w:val="18"/>
          <w:i w:val="1"/>
          <w:iCs w:val="1"/>
          <w:color w:val="auto"/>
        </w:rPr>
        <w:t>Business Overview</w:t>
      </w:r>
      <w:r>
        <w:rPr>
          <w:rFonts w:ascii="Arial" w:cs="Arial" w:eastAsia="Arial" w:hAnsi="Arial"/>
          <w:sz w:val="18"/>
          <w:szCs w:val="18"/>
          <w:color w:val="auto"/>
        </w:rPr>
        <w:t>” the Company made certain commitments to the Board of Governors of the Federal Reserve System in connection with the merger of FHB Formation LLC with and into the Company in December 2010. The Company’s loan purchase and commercial real estate loan availability under these conditions follow.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Basis for</w:t>
            </w:r>
          </w:p>
        </w:tc>
        <w:tc>
          <w:tcPr>
            <w:tcW w:w="496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Condition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Availability at December 31, 2014</w:t>
            </w:r>
          </w:p>
        </w:tc>
        <w:tc>
          <w:tcPr>
            <w:tcW w:w="0" w:type="dxa"/>
            <w:vAlign w:val="bottom"/>
          </w:tcPr>
          <w:p>
            <w:pPr>
              <w:spacing w:after="0"/>
              <w:rPr>
                <w:sz w:val="1"/>
                <w:szCs w:val="1"/>
                <w:color w:val="auto"/>
              </w:rPr>
            </w:pPr>
          </w:p>
        </w:tc>
      </w:tr>
      <w:tr>
        <w:trPr>
          <w:trHeight w:val="171"/>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Regulatory Condition</w:t>
            </w:r>
          </w:p>
        </w:tc>
        <w:tc>
          <w:tcPr>
            <w:tcW w:w="4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tcPr>
          <w:p>
            <w:pPr>
              <w:jc w:val="right"/>
              <w:ind w:right="559"/>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w:t>
            </w: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 may not exceed 40% of total loans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2"/>
        </w:trPr>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Regulatory Capital</w:t>
            </w:r>
          </w:p>
        </w:tc>
        <w:tc>
          <w:tcPr>
            <w:tcW w:w="4960" w:type="dxa"/>
            <w:vAlign w:val="bottom"/>
          </w:tcPr>
          <w:p>
            <w:pPr>
              <w:spacing w:after="0" w:line="201" w:lineRule="exact"/>
              <w:rPr>
                <w:sz w:val="20"/>
                <w:szCs w:val="20"/>
                <w:color w:val="auto"/>
              </w:rPr>
            </w:pPr>
            <w:r>
              <w:rPr>
                <w:rFonts w:ascii="Arial" w:cs="Arial" w:eastAsia="Arial" w:hAnsi="Arial"/>
                <w:sz w:val="18"/>
                <w:szCs w:val="18"/>
                <w:color w:val="auto"/>
                <w:w w:val="96"/>
              </w:rPr>
              <w:t>Commercial real estate loans may not exceed 300% of total risk-</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based capital</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overview of the LASG portfolio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center"/>
              <w:ind w:right="273"/>
              <w:spacing w:after="0"/>
              <w:rPr>
                <w:sz w:val="20"/>
                <w:szCs w:val="20"/>
                <w:color w:val="auto"/>
              </w:rPr>
            </w:pPr>
            <w:r>
              <w:rPr>
                <w:rFonts w:ascii="Arial" w:cs="Arial" w:eastAsia="Arial" w:hAnsi="Arial"/>
                <w:sz w:val="14"/>
                <w:szCs w:val="14"/>
                <w:b w:val="1"/>
                <w:bCs w:val="1"/>
                <w:color w:val="auto"/>
                <w:w w:val="97"/>
              </w:rPr>
              <w:t>LASG Portfolio</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4"/>
          </w:tcPr>
          <w:p>
            <w:pPr>
              <w:jc w:val="center"/>
              <w:ind w:right="273"/>
              <w:spacing w:after="0" w:line="142" w:lineRule="exact"/>
              <w:rPr>
                <w:sz w:val="20"/>
                <w:szCs w:val="20"/>
                <w:color w:val="auto"/>
              </w:rPr>
            </w:pPr>
            <w:r>
              <w:rPr>
                <w:rFonts w:ascii="Arial" w:cs="Arial" w:eastAsia="Arial" w:hAnsi="Arial"/>
                <w:sz w:val="14"/>
                <w:szCs w:val="14"/>
                <w:b w:val="1"/>
                <w:bCs w:val="1"/>
                <w:color w:val="auto"/>
                <w:w w:val="93"/>
              </w:rPr>
              <w:t>Three Months Ended December 31,</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75"/>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255"/>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w w:val="97"/>
              </w:rPr>
              <w:t>Purchased</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75"/>
              <w:spacing w:after="0" w:line="142" w:lineRule="exact"/>
              <w:rPr>
                <w:sz w:val="20"/>
                <w:szCs w:val="20"/>
                <w:color w:val="auto"/>
              </w:rPr>
            </w:pPr>
            <w:r>
              <w:rPr>
                <w:rFonts w:ascii="Arial" w:cs="Arial" w:eastAsia="Arial" w:hAnsi="Arial"/>
                <w:sz w:val="14"/>
                <w:szCs w:val="14"/>
                <w:b w:val="1"/>
                <w:bCs w:val="1"/>
                <w:color w:val="auto"/>
                <w:w w:val="97"/>
              </w:rPr>
              <w:t>Originated</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Total LASG</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97"/>
              </w:rPr>
              <w:t>Purchased</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255"/>
              <w:spacing w:after="0" w:line="142" w:lineRule="exact"/>
              <w:rPr>
                <w:sz w:val="20"/>
                <w:szCs w:val="20"/>
                <w:color w:val="auto"/>
              </w:rPr>
            </w:pPr>
            <w:r>
              <w:rPr>
                <w:rFonts w:ascii="Arial" w:cs="Arial" w:eastAsia="Arial" w:hAnsi="Arial"/>
                <w:sz w:val="14"/>
                <w:szCs w:val="14"/>
                <w:b w:val="1"/>
                <w:bCs w:val="1"/>
                <w:color w:val="auto"/>
                <w:w w:val="97"/>
              </w:rPr>
              <w:t>Originated</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9"/>
              </w:rPr>
              <w:t>Total LASG</w:t>
            </w:r>
          </w:p>
        </w:tc>
        <w:tc>
          <w:tcPr>
            <w:tcW w:w="16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4"/>
          </w:tcPr>
          <w:p>
            <w:pPr>
              <w:jc w:val="center"/>
              <w:ind w:right="25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 originated during the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46,307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28,579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74,886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15,663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17,138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32,801</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basis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39,667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28,565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68,232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13,619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17,138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30,757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 returns during the period:</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Yield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w:t>
            </w: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Total Return (1)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13.72%</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10.67%</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13.76%</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r>
      <w:tr>
        <w:trPr>
          <w:trHeight w:val="350"/>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4"/>
                <w:szCs w:val="14"/>
                <w:b w:val="1"/>
                <w:bCs w:val="1"/>
                <w:color w:val="auto"/>
                <w:w w:val="92"/>
              </w:rPr>
              <w:t>Six Months Ended December 31,</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75"/>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255"/>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w w:val="97"/>
              </w:rPr>
              <w:t>Purchased</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75"/>
              <w:spacing w:after="0" w:line="142" w:lineRule="exact"/>
              <w:rPr>
                <w:sz w:val="20"/>
                <w:szCs w:val="20"/>
                <w:color w:val="auto"/>
              </w:rPr>
            </w:pPr>
            <w:r>
              <w:rPr>
                <w:rFonts w:ascii="Arial" w:cs="Arial" w:eastAsia="Arial" w:hAnsi="Arial"/>
                <w:sz w:val="14"/>
                <w:szCs w:val="14"/>
                <w:b w:val="1"/>
                <w:bCs w:val="1"/>
                <w:color w:val="auto"/>
                <w:w w:val="97"/>
              </w:rPr>
              <w:t>Originated</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Total LASG</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97"/>
              </w:rPr>
              <w:t>Purchased</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255"/>
              <w:spacing w:after="0" w:line="142" w:lineRule="exact"/>
              <w:rPr>
                <w:sz w:val="20"/>
                <w:szCs w:val="20"/>
                <w:color w:val="auto"/>
              </w:rPr>
            </w:pPr>
            <w:r>
              <w:rPr>
                <w:rFonts w:ascii="Arial" w:cs="Arial" w:eastAsia="Arial" w:hAnsi="Arial"/>
                <w:sz w:val="14"/>
                <w:szCs w:val="14"/>
                <w:b w:val="1"/>
                <w:bCs w:val="1"/>
                <w:color w:val="auto"/>
                <w:w w:val="97"/>
              </w:rPr>
              <w:t>Originated</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9"/>
              </w:rPr>
              <w:t>Total LASG</w:t>
            </w:r>
          </w:p>
        </w:tc>
        <w:tc>
          <w:tcPr>
            <w:tcW w:w="16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4"/>
          </w:tcPr>
          <w:p>
            <w:pPr>
              <w:jc w:val="center"/>
              <w:ind w:right="25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 originated during the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62,425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68,915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131,340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33,994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43,564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77,558</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basis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52,834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68,904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121,738</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29,967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43,564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73,531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 returns during the period:</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Yield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Total Return (1)</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10.85%</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10.51%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loans as of period end: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262,445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126,620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389,065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212,767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78,828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291,595</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basis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220,391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126,563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346,954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177,435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78,868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20" w:firstLine="8"/>
        <w:spacing w:after="0" w:line="277" w:lineRule="auto"/>
        <w:tabs>
          <w:tab w:leader="none" w:pos="2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Short-term Investments and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Cash and short-term investments were $83.3 million as of December 31, 2014, an increase of $1.0 million, or 1.2%, from $82.3 million at June 30, 2014.</w:t>
      </w:r>
    </w:p>
    <w:p>
      <w:pPr>
        <w:spacing w:after="0" w:line="24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Available-for-sale securities, consisting of securities issued by government agencies and government-sponsored enterprises, totaled $107.8 million as of December 31, 2014 as compared to $113.9 million as of June 30, 2014, representing a decrease of $6.0 million or 5.3%. At December 31, 2014, securities</w:t>
      </w:r>
    </w:p>
    <w:p>
      <w:pPr>
        <w:sectPr>
          <w:pgSz w:w="11900" w:h="16867" w:orient="portrait"/>
          <w:cols w:equalWidth="0" w:num="1">
            <w:col w:w="11420"/>
          </w:cols>
          <w:pgMar w:left="240" w:top="125" w:right="239" w:bottom="0" w:gutter="0" w:footer="0" w:header="0"/>
        </w:sectPr>
      </w:pPr>
    </w:p>
    <w:bookmarkStart w:id="22" w:name="page23"/>
    <w:bookmarkEnd w:id="22"/>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with a fair value of $34.7 million were pledged for outstanding borrowings.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composition of the Company’s loan portfolio.</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233"/>
              <w:spacing w:after="0"/>
              <w:rPr>
                <w:sz w:val="20"/>
                <w:szCs w:val="20"/>
                <w:color w:val="auto"/>
              </w:rPr>
            </w:pPr>
            <w:r>
              <w:rPr>
                <w:rFonts w:ascii="Arial" w:cs="Arial" w:eastAsia="Arial" w:hAnsi="Arial"/>
                <w:sz w:val="14"/>
                <w:szCs w:val="14"/>
                <w:b w:val="1"/>
                <w:bCs w:val="1"/>
                <w:color w:val="auto"/>
                <w:w w:val="91"/>
              </w:rPr>
              <w:t>December 31, 2014</w:t>
            </w: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Community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3"/>
            <w:vMerge w:val="restart"/>
          </w:tcPr>
          <w:p>
            <w:pPr>
              <w:jc w:val="center"/>
              <w:ind w:right="35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Banking</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LASG</w:t>
            </w:r>
          </w:p>
        </w:tc>
        <w:tc>
          <w:tcPr>
            <w:tcW w:w="420" w:type="dxa"/>
            <w:vAlign w:val="bottom"/>
          </w:tcPr>
          <w:p>
            <w:pPr>
              <w:spacing w:after="0"/>
              <w:rPr>
                <w:sz w:val="12"/>
                <w:szCs w:val="12"/>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Division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58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center"/>
              <w:ind w:left="23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111,963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309</w:t>
            </w: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112,272</w:t>
            </w:r>
          </w:p>
        </w:tc>
        <w:tc>
          <w:tcPr>
            <w:tcW w:w="15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Home equity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25,534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25,534</w:t>
            </w:r>
          </w:p>
        </w:tc>
        <w:tc>
          <w:tcPr>
            <w:tcW w:w="1580" w:type="dxa"/>
            <w:vAlign w:val="bottom"/>
            <w:gridSpan w:val="3"/>
          </w:tcPr>
          <w:p>
            <w:pPr>
              <w:jc w:val="right"/>
              <w:ind w:right="19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occupied</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49,355</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39,392</w:t>
            </w:r>
          </w:p>
        </w:tc>
        <w:tc>
          <w:tcPr>
            <w:tcW w:w="4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88,747</w:t>
            </w:r>
          </w:p>
        </w:tc>
        <w:tc>
          <w:tcPr>
            <w:tcW w:w="15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7"/>
              </w:rPr>
              <w:t>Commercial real estate: owner occupied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23,181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13,264</w:t>
            </w:r>
          </w:p>
        </w:tc>
        <w:tc>
          <w:tcPr>
            <w:tcW w:w="4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36,445</w:t>
            </w:r>
          </w:p>
        </w:tc>
        <w:tc>
          <w:tcPr>
            <w:tcW w:w="1580" w:type="dxa"/>
            <w:vAlign w:val="bottom"/>
            <w:gridSpan w:val="3"/>
          </w:tcPr>
          <w:p>
            <w:pPr>
              <w:jc w:val="right"/>
              <w:ind w:right="19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15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9,074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73,598</w:t>
            </w:r>
          </w:p>
        </w:tc>
        <w:tc>
          <w:tcPr>
            <w:tcW w:w="4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82,672</w:t>
            </w:r>
          </w:p>
        </w:tc>
        <w:tc>
          <w:tcPr>
            <w:tcW w:w="1580" w:type="dxa"/>
            <w:vAlign w:val="bottom"/>
            <w:gridSpan w:val="3"/>
          </w:tcPr>
          <w:p>
            <w:pPr>
              <w:jc w:val="right"/>
              <w:ind w:right="19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280" w:type="dxa"/>
            <w:vAlign w:val="bottom"/>
            <w:tcBorders>
              <w:righ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36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228,380</w:t>
            </w:r>
          </w:p>
        </w:tc>
        <w:tc>
          <w:tcPr>
            <w:tcW w:w="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126,563</w:t>
            </w:r>
          </w:p>
        </w:tc>
        <w:tc>
          <w:tcPr>
            <w:tcW w:w="2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354,943</w:t>
            </w:r>
          </w:p>
        </w:tc>
        <w:tc>
          <w:tcPr>
            <w:tcW w:w="280" w:type="dxa"/>
            <w:vAlign w:val="bottom"/>
            <w:vMerge w:val="continue"/>
          </w:tcPr>
          <w:p>
            <w:pPr>
              <w:spacing w:after="0"/>
              <w:rPr>
                <w:sz w:val="18"/>
                <w:szCs w:val="18"/>
                <w:color w:val="auto"/>
              </w:rPr>
            </w:pPr>
          </w:p>
        </w:tc>
        <w:tc>
          <w:tcPr>
            <w:tcW w:w="1580" w:type="dxa"/>
            <w:vAlign w:val="bottom"/>
            <w:gridSpan w:val="3"/>
          </w:tcPr>
          <w:p>
            <w:pPr>
              <w:jc w:val="right"/>
              <w:ind w:right="190"/>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2,211</w:t>
            </w:r>
          </w:p>
        </w:tc>
        <w:tc>
          <w:tcPr>
            <w:tcW w:w="4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2,211</w:t>
            </w:r>
          </w:p>
        </w:tc>
        <w:tc>
          <w:tcPr>
            <w:tcW w:w="1580" w:type="dxa"/>
            <w:vAlign w:val="bottom"/>
            <w:gridSpan w:val="3"/>
          </w:tcPr>
          <w:p>
            <w:pPr>
              <w:jc w:val="right"/>
              <w:ind w:right="19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15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occupied</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171,975</w:t>
            </w:r>
          </w:p>
        </w:tc>
        <w:tc>
          <w:tcPr>
            <w:tcW w:w="42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171,975</w:t>
            </w:r>
          </w:p>
        </w:tc>
        <w:tc>
          <w:tcPr>
            <w:tcW w:w="1580" w:type="dxa"/>
            <w:vAlign w:val="bottom"/>
            <w:gridSpan w:val="3"/>
          </w:tcPr>
          <w:p>
            <w:pPr>
              <w:jc w:val="right"/>
              <w:ind w:right="190"/>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Commercial real estate: owner occupied</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45,939</w:t>
            </w: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45,939</w:t>
            </w:r>
          </w:p>
        </w:tc>
        <w:tc>
          <w:tcPr>
            <w:tcW w:w="280" w:type="dxa"/>
            <w:vAlign w:val="bottom"/>
            <w:tcBorders>
              <w:righ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36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220,392</w:t>
            </w:r>
          </w:p>
        </w:tc>
        <w:tc>
          <w:tcPr>
            <w:tcW w:w="2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220,392</w:t>
            </w:r>
          </w:p>
        </w:tc>
        <w:tc>
          <w:tcPr>
            <w:tcW w:w="280" w:type="dxa"/>
            <w:vAlign w:val="bottom"/>
            <w:vMerge w:val="continue"/>
          </w:tcPr>
          <w:p>
            <w:pPr>
              <w:spacing w:after="0"/>
              <w:rPr>
                <w:sz w:val="18"/>
                <w:szCs w:val="18"/>
                <w:color w:val="auto"/>
              </w:rPr>
            </w:pPr>
          </w:p>
        </w:tc>
        <w:tc>
          <w:tcPr>
            <w:tcW w:w="1580" w:type="dxa"/>
            <w:vAlign w:val="bottom"/>
            <w:gridSpan w:val="3"/>
          </w:tcPr>
          <w:p>
            <w:pPr>
              <w:jc w:val="right"/>
              <w:ind w:right="19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346,955</w:t>
            </w:r>
          </w:p>
        </w:tc>
        <w:tc>
          <w:tcPr>
            <w:tcW w:w="2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575,335</w:t>
            </w:r>
          </w:p>
        </w:tc>
        <w:tc>
          <w:tcPr>
            <w:tcW w:w="2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40" w:type="dxa"/>
            <w:vAlign w:val="bottom"/>
            <w:tcBorders>
              <w:top w:val="single" w:sz="8" w:color="CCEEFF"/>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center"/>
              <w:ind w:left="253"/>
              <w:spacing w:after="0"/>
              <w:rPr>
                <w:sz w:val="20"/>
                <w:szCs w:val="20"/>
                <w:color w:val="auto"/>
              </w:rPr>
            </w:pPr>
            <w:r>
              <w:rPr>
                <w:rFonts w:ascii="Arial" w:cs="Arial" w:eastAsia="Arial" w:hAnsi="Arial"/>
                <w:sz w:val="14"/>
                <w:szCs w:val="14"/>
                <w:b w:val="1"/>
                <w:bCs w:val="1"/>
                <w:color w:val="auto"/>
                <w:w w:val="90"/>
              </w:rPr>
              <w:t>June 30, 2014</w:t>
            </w:r>
          </w:p>
        </w:tc>
        <w:tc>
          <w:tcPr>
            <w:tcW w:w="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Community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3"/>
            <w:vMerge w:val="restart"/>
          </w:tcPr>
          <w:p>
            <w:pPr>
              <w:jc w:val="center"/>
              <w:ind w:right="35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Banking</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LASG</w:t>
            </w:r>
          </w:p>
        </w:tc>
        <w:tc>
          <w:tcPr>
            <w:tcW w:w="42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Division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5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center"/>
              <w:ind w:left="27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116,660</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29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116,972</w:t>
            </w:r>
          </w:p>
        </w:tc>
        <w:tc>
          <w:tcPr>
            <w:tcW w:w="280" w:type="dxa"/>
            <w:vAlign w:val="bottom"/>
            <w:tcBorders>
              <w:righ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Home equity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27,975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27,975</w:t>
            </w:r>
          </w:p>
        </w:tc>
        <w:tc>
          <w:tcPr>
            <w:tcW w:w="280" w:type="dxa"/>
            <w:vAlign w:val="bottom"/>
          </w:tcPr>
          <w:p>
            <w:pPr>
              <w:spacing w:after="0"/>
              <w:rPr>
                <w:sz w:val="18"/>
                <w:szCs w:val="18"/>
                <w:color w:val="auto"/>
              </w:rPr>
            </w:pPr>
          </w:p>
        </w:tc>
        <w:tc>
          <w:tcPr>
            <w:tcW w:w="1580" w:type="dxa"/>
            <w:vAlign w:val="bottom"/>
            <w:gridSpan w:val="3"/>
          </w:tcPr>
          <w:p>
            <w:pPr>
              <w:jc w:val="right"/>
              <w:ind w:right="17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occupied</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46,191</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33,969</w:t>
            </w:r>
          </w:p>
        </w:tc>
        <w:tc>
          <w:tcPr>
            <w:tcW w:w="28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80,160</w:t>
            </w:r>
          </w:p>
        </w:tc>
        <w:tc>
          <w:tcPr>
            <w:tcW w:w="280" w:type="dxa"/>
            <w:vAlign w:val="bottom"/>
            <w:tcBorders>
              <w:right w:val="single" w:sz="8" w:color="CCEEFF"/>
            </w:tcBorders>
            <w:shd w:val="clear" w:color="auto" w:fill="CCEEFF"/>
          </w:tcPr>
          <w:p>
            <w:pPr>
              <w:spacing w:after="0"/>
              <w:rPr>
                <w:sz w:val="20"/>
                <w:szCs w:val="20"/>
                <w:color w:val="auto"/>
              </w:rPr>
            </w:pPr>
          </w:p>
        </w:tc>
        <w:tc>
          <w:tcPr>
            <w:tcW w:w="15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7"/>
              </w:rPr>
              <w:t>Commercial real estate: owner occupied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24,519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11,907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36,426</w:t>
            </w:r>
          </w:p>
        </w:tc>
        <w:tc>
          <w:tcPr>
            <w:tcW w:w="280" w:type="dxa"/>
            <w:vAlign w:val="bottom"/>
          </w:tcPr>
          <w:p>
            <w:pPr>
              <w:spacing w:after="0"/>
              <w:rPr>
                <w:sz w:val="18"/>
                <w:szCs w:val="18"/>
                <w:color w:val="auto"/>
              </w:rPr>
            </w:pPr>
          </w:p>
        </w:tc>
        <w:tc>
          <w:tcPr>
            <w:tcW w:w="1580" w:type="dxa"/>
            <w:vAlign w:val="bottom"/>
            <w:gridSpan w:val="3"/>
          </w:tcPr>
          <w:p>
            <w:pPr>
              <w:jc w:val="right"/>
              <w:ind w:right="17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10,145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31,373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41,518</w:t>
            </w:r>
          </w:p>
        </w:tc>
        <w:tc>
          <w:tcPr>
            <w:tcW w:w="280" w:type="dxa"/>
            <w:vAlign w:val="bottom"/>
          </w:tcPr>
          <w:p>
            <w:pPr>
              <w:spacing w:after="0"/>
              <w:rPr>
                <w:sz w:val="18"/>
                <w:szCs w:val="18"/>
                <w:color w:val="auto"/>
              </w:rPr>
            </w:pPr>
          </w:p>
        </w:tc>
        <w:tc>
          <w:tcPr>
            <w:tcW w:w="1580" w:type="dxa"/>
            <w:vAlign w:val="bottom"/>
            <w:gridSpan w:val="3"/>
          </w:tcPr>
          <w:p>
            <w:pPr>
              <w:jc w:val="right"/>
              <w:ind w:right="17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36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235,405</w:t>
            </w:r>
          </w:p>
        </w:tc>
        <w:tc>
          <w:tcPr>
            <w:tcW w:w="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77,561</w:t>
            </w:r>
          </w:p>
        </w:tc>
        <w:tc>
          <w:tcPr>
            <w:tcW w:w="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312,966</w:t>
            </w:r>
          </w:p>
        </w:tc>
        <w:tc>
          <w:tcPr>
            <w:tcW w:w="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right"/>
              <w:ind w:right="170"/>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3,687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3,687</w:t>
            </w:r>
          </w:p>
        </w:tc>
        <w:tc>
          <w:tcPr>
            <w:tcW w:w="280" w:type="dxa"/>
            <w:vAlign w:val="bottom"/>
          </w:tcPr>
          <w:p>
            <w:pPr>
              <w:spacing w:after="0"/>
              <w:rPr>
                <w:sz w:val="18"/>
                <w:szCs w:val="18"/>
                <w:color w:val="auto"/>
              </w:rPr>
            </w:pPr>
          </w:p>
        </w:tc>
        <w:tc>
          <w:tcPr>
            <w:tcW w:w="1580" w:type="dxa"/>
            <w:vAlign w:val="bottom"/>
            <w:gridSpan w:val="3"/>
          </w:tcPr>
          <w:p>
            <w:pPr>
              <w:jc w:val="right"/>
              <w:ind w:right="17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280" w:type="dxa"/>
            <w:vAlign w:val="bottom"/>
            <w:tcBorders>
              <w:righ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occupied</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133,581</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133,581</w:t>
            </w:r>
          </w:p>
        </w:tc>
        <w:tc>
          <w:tcPr>
            <w:tcW w:w="280" w:type="dxa"/>
            <w:vAlign w:val="bottom"/>
          </w:tcPr>
          <w:p>
            <w:pPr>
              <w:spacing w:after="0"/>
              <w:rPr>
                <w:sz w:val="20"/>
                <w:szCs w:val="20"/>
                <w:color w:val="auto"/>
              </w:rPr>
            </w:pPr>
          </w:p>
        </w:tc>
        <w:tc>
          <w:tcPr>
            <w:tcW w:w="1580" w:type="dxa"/>
            <w:vAlign w:val="bottom"/>
            <w:gridSpan w:val="3"/>
          </w:tcPr>
          <w:p>
            <w:pPr>
              <w:jc w:val="right"/>
              <w:ind w:right="17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Commercial real estate: owner occupied</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36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203,450</w:t>
            </w:r>
          </w:p>
        </w:tc>
        <w:tc>
          <w:tcPr>
            <w:tcW w:w="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203,450</w:t>
            </w:r>
          </w:p>
        </w:tc>
        <w:tc>
          <w:tcPr>
            <w:tcW w:w="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right"/>
              <w:ind w:right="17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235,405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Loans are classified as non-performing when 90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ectPr>
          <w:pgSz w:w="11900" w:h="16845" w:orient="portrait"/>
          <w:cols w:equalWidth="0" w:num="1">
            <w:col w:w="11420"/>
          </w:cols>
          <w:pgMar w:left="240" w:top="125" w:right="239" w:bottom="0" w:gutter="0" w:footer="0" w:header="0"/>
        </w:sectPr>
      </w:pPr>
    </w:p>
    <w:bookmarkStart w:id="23" w:name="page24"/>
    <w:bookmarkEnd w:id="23"/>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00" w:orient="portrait"/>
          <w:cols w:equalWidth="0" w:num="1">
            <w:col w:w="11420"/>
          </w:cols>
          <w:pgMar w:left="240" w:top="260" w:right="239" w:bottom="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December 31, 2014 and June 30, 2014. Management believes that, based on their carrying amounts, nonperforming assets are well secured based on the estimated fair value of underlying collateral.</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5"/>
          </w:tcPr>
          <w:p>
            <w:pPr>
              <w:jc w:val="center"/>
              <w:ind w:left="1074"/>
              <w:spacing w:after="0"/>
              <w:rPr>
                <w:sz w:val="20"/>
                <w:szCs w:val="20"/>
                <w:color w:val="auto"/>
              </w:rPr>
            </w:pPr>
            <w:r>
              <w:rPr>
                <w:rFonts w:ascii="Arial" w:cs="Arial" w:eastAsia="Arial" w:hAnsi="Arial"/>
                <w:sz w:val="14"/>
                <w:szCs w:val="14"/>
                <w:b w:val="1"/>
                <w:bCs w:val="1"/>
                <w:color w:val="auto"/>
                <w:w w:val="91"/>
              </w:rPr>
              <w:t>Non-Performing Assets at December 31, 2014</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8"/>
              </w:rPr>
              <w:t>Community Banking Division</w:t>
            </w: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LASG</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40" w:type="dxa"/>
            <w:vAlign w:val="bottom"/>
            <w:gridSpan w:val="5"/>
          </w:tcPr>
          <w:p>
            <w:pPr>
              <w:jc w:val="center"/>
              <w:ind w:left="109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520" w:type="dxa"/>
            <w:vAlign w:val="bottom"/>
            <w:gridSpan w:val="2"/>
          </w:tcPr>
          <w:p>
            <w:pPr>
              <w:jc w:val="right"/>
              <w:ind w:right="300"/>
              <w:spacing w:after="0"/>
              <w:rPr>
                <w:sz w:val="20"/>
                <w:szCs w:val="20"/>
                <w:color w:val="auto"/>
              </w:rPr>
            </w:pPr>
            <w:r>
              <w:rPr>
                <w:rFonts w:ascii="Arial" w:cs="Arial" w:eastAsia="Arial" w:hAnsi="Arial"/>
                <w:sz w:val="18"/>
                <w:szCs w:val="18"/>
                <w:color w:val="auto"/>
              </w:rPr>
              <w:t>2,535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520" w:type="dxa"/>
            <w:vAlign w:val="bottom"/>
            <w:gridSpan w:val="2"/>
          </w:tcPr>
          <w:p>
            <w:pPr>
              <w:jc w:val="right"/>
              <w:ind w:right="300"/>
              <w:spacing w:after="0"/>
              <w:rPr>
                <w:sz w:val="20"/>
                <w:szCs w:val="20"/>
                <w:color w:val="auto"/>
              </w:rPr>
            </w:pPr>
            <w:r>
              <w:rPr>
                <w:rFonts w:ascii="Arial" w:cs="Arial" w:eastAsia="Arial" w:hAnsi="Arial"/>
                <w:sz w:val="18"/>
                <w:szCs w:val="18"/>
                <w:color w:val="auto"/>
              </w:rPr>
              <w:t>1,166</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8,129</w:t>
            </w:r>
          </w:p>
        </w:tc>
        <w:tc>
          <w:tcPr>
            <w:tcW w:w="3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2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 estate owned and other repossessed</w:t>
            </w:r>
          </w:p>
        </w:tc>
        <w:tc>
          <w:tcPr>
            <w:tcW w:w="1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collateral</w:t>
            </w:r>
          </w:p>
        </w:tc>
        <w:tc>
          <w:tcPr>
            <w:tcW w:w="1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2,058</w:t>
            </w: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Ratio of nonperforming loans to total loans</w:t>
            </w: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Commercial loans risk rated substandard or</w:t>
            </w: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worse</w:t>
            </w: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nonaccrual status</w:t>
            </w: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5"/>
          </w:tcPr>
          <w:p>
            <w:pPr>
              <w:jc w:val="center"/>
              <w:ind w:left="1074"/>
              <w:spacing w:after="0"/>
              <w:rPr>
                <w:sz w:val="20"/>
                <w:szCs w:val="20"/>
                <w:color w:val="auto"/>
              </w:rPr>
            </w:pPr>
            <w:r>
              <w:rPr>
                <w:rFonts w:ascii="Arial" w:cs="Arial" w:eastAsia="Arial" w:hAnsi="Arial"/>
                <w:sz w:val="14"/>
                <w:szCs w:val="14"/>
                <w:b w:val="1"/>
                <w:bCs w:val="1"/>
                <w:color w:val="auto"/>
                <w:w w:val="91"/>
              </w:rPr>
              <w:t>Non-Performing Assets at June 30, 2014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8"/>
              </w:rPr>
              <w:t>Community Banking Division</w:t>
            </w: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LASG</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40" w:type="dxa"/>
            <w:vAlign w:val="bottom"/>
            <w:gridSpan w:val="5"/>
          </w:tcPr>
          <w:p>
            <w:pPr>
              <w:jc w:val="center"/>
              <w:ind w:left="109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520" w:type="dxa"/>
            <w:vAlign w:val="bottom"/>
            <w:gridSpan w:val="2"/>
          </w:tcPr>
          <w:p>
            <w:pPr>
              <w:jc w:val="right"/>
              <w:ind w:right="300"/>
              <w:spacing w:after="0"/>
              <w:rPr>
                <w:sz w:val="20"/>
                <w:szCs w:val="20"/>
                <w:color w:val="auto"/>
              </w:rPr>
            </w:pPr>
            <w:r>
              <w:rPr>
                <w:rFonts w:ascii="Arial" w:cs="Arial" w:eastAsia="Arial" w:hAnsi="Arial"/>
                <w:sz w:val="18"/>
                <w:szCs w:val="18"/>
                <w:color w:val="auto"/>
              </w:rPr>
              <w:t>1,572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520" w:type="dxa"/>
            <w:vAlign w:val="bottom"/>
            <w:gridSpan w:val="2"/>
          </w:tcPr>
          <w:p>
            <w:pPr>
              <w:jc w:val="right"/>
              <w:ind w:right="300"/>
              <w:spacing w:after="0"/>
              <w:rPr>
                <w:sz w:val="20"/>
                <w:szCs w:val="20"/>
                <w:color w:val="auto"/>
              </w:rPr>
            </w:pPr>
            <w:r>
              <w:rPr>
                <w:rFonts w:ascii="Arial" w:cs="Arial" w:eastAsia="Arial" w:hAnsi="Arial"/>
                <w:sz w:val="18"/>
                <w:szCs w:val="18"/>
                <w:color w:val="auto"/>
              </w:rPr>
              <w:t>1,162</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4,116</w:t>
            </w:r>
          </w:p>
        </w:tc>
        <w:tc>
          <w:tcPr>
            <w:tcW w:w="3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25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 estate owned and other repossessed</w:t>
            </w:r>
          </w:p>
        </w:tc>
        <w:tc>
          <w:tcPr>
            <w:tcW w:w="1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collateral</w:t>
            </w:r>
          </w:p>
        </w:tc>
        <w:tc>
          <w:tcPr>
            <w:tcW w:w="1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1,991</w:t>
            </w: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5,029</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Ratio of nonperforming loans to total loans</w:t>
            </w: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Commercial loans risk rated substandard or</w:t>
            </w: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worse</w:t>
            </w: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status</w:t>
            </w: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December 31, 2014, nonperforming assets totaled $14.3 million, or 1.8% of total assets, as compared to $9.3 million, or 1.2% of total assets at June 30, 2014. The increase in nonperforming assets during the six months ended December 31, 2014 was mainly due to the addition of one recently-purchased loan relationship.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allowance for loan losses was $1.7 million as of December 31, 2014, which represents an increase of $297 thousand from $1.4 million as of June 30, 2014. The increase during the period was principally due to increases in reserves necessary for loans accounted for under ASC 310-30 and due to increased volume of newly originated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December 31, 2014</w:t>
            </w:r>
          </w:p>
        </w:tc>
        <w:tc>
          <w:tcPr>
            <w:tcW w:w="3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 2014</w:t>
            </w:r>
          </w:p>
        </w:tc>
        <w:tc>
          <w:tcPr>
            <w:tcW w:w="3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December, 2013</w:t>
            </w:r>
          </w:p>
        </w:tc>
        <w:tc>
          <w:tcPr>
            <w:tcW w:w="340" w:type="dxa"/>
            <w:vAlign w:val="bottom"/>
            <w:tcBorders>
              <w:bottom w:val="single" w:sz="8" w:color="CCEEFF"/>
            </w:tcBorders>
          </w:tcPr>
          <w:p>
            <w:pPr>
              <w:spacing w:after="0"/>
              <w:rPr>
                <w:sz w:val="14"/>
                <w:szCs w:val="14"/>
                <w:color w:val="auto"/>
              </w:rPr>
            </w:pPr>
          </w:p>
        </w:tc>
      </w:tr>
      <w:tr>
        <w:trPr>
          <w:trHeight w:val="199"/>
        </w:trPr>
        <w:tc>
          <w:tcPr>
            <w:tcW w:w="5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Allowance for loan losses to nonperforming loans</w:t>
            </w:r>
          </w:p>
        </w:tc>
        <w:tc>
          <w:tcPr>
            <w:tcW w:w="20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13.58%</w:t>
            </w:r>
          </w:p>
        </w:tc>
        <w:tc>
          <w:tcPr>
            <w:tcW w:w="180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18.66%</w:t>
            </w:r>
          </w:p>
        </w:tc>
        <w:tc>
          <w:tcPr>
            <w:tcW w:w="178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21.95%</w:t>
            </w:r>
          </w:p>
        </w:tc>
      </w:tr>
    </w:tbl>
    <w:p>
      <w:pPr>
        <w:sectPr>
          <w:pgSz w:w="11900" w:h="16900" w:orient="portrait"/>
          <w:cols w:equalWidth="0" w:num="1">
            <w:col w:w="11420"/>
          </w:cols>
          <w:pgMar w:left="240" w:top="260" w:right="239" w:bottom="0" w:gutter="0" w:footer="0" w:header="0"/>
          <w:type w:val="continuous"/>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2780" w:type="dxa"/>
            <w:vAlign w:val="bottom"/>
          </w:tcPr>
          <w:p>
            <w:pPr>
              <w:jc w:val="right"/>
              <w:ind w:right="590"/>
              <w:spacing w:after="0"/>
              <w:rPr>
                <w:sz w:val="20"/>
                <w:szCs w:val="20"/>
                <w:color w:val="auto"/>
              </w:rPr>
            </w:pPr>
            <w:r>
              <w:rPr>
                <w:rFonts w:ascii="Arial" w:cs="Arial" w:eastAsia="Arial" w:hAnsi="Arial"/>
                <w:sz w:val="18"/>
                <w:szCs w:val="18"/>
                <w:color w:val="auto"/>
              </w:rPr>
              <w:t>0.29%</w:t>
            </w:r>
          </w:p>
        </w:tc>
        <w:tc>
          <w:tcPr>
            <w:tcW w:w="1800" w:type="dxa"/>
            <w:vAlign w:val="bottom"/>
          </w:tcPr>
          <w:p>
            <w:pPr>
              <w:jc w:val="right"/>
              <w:ind w:right="570"/>
              <w:spacing w:after="0"/>
              <w:rPr>
                <w:sz w:val="20"/>
                <w:szCs w:val="20"/>
                <w:color w:val="auto"/>
              </w:rPr>
            </w:pPr>
            <w:r>
              <w:rPr>
                <w:rFonts w:ascii="Arial" w:cs="Arial" w:eastAsia="Arial" w:hAnsi="Arial"/>
                <w:sz w:val="18"/>
                <w:szCs w:val="18"/>
                <w:color w:val="auto"/>
              </w:rPr>
              <w:t>0.26%</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0.27%</w:t>
            </w:r>
          </w:p>
        </w:tc>
        <w:tc>
          <w:tcPr>
            <w:tcW w:w="800" w:type="dxa"/>
            <w:vAlign w:val="bottom"/>
          </w:tcPr>
          <w:p>
            <w:pPr>
              <w:spacing w:after="0"/>
              <w:rPr>
                <w:sz w:val="20"/>
                <w:szCs w:val="20"/>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2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0.08%</w:t>
            </w:r>
          </w:p>
        </w:tc>
        <w:tc>
          <w:tcPr>
            <w:tcW w:w="18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0.06%</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0.09%</w:t>
            </w:r>
          </w:p>
        </w:tc>
        <w:tc>
          <w:tcPr>
            <w:tcW w:w="800" w:type="dxa"/>
            <w:vAlign w:val="bottom"/>
          </w:tcPr>
          <w:p>
            <w:pPr>
              <w:spacing w:after="0"/>
              <w:rPr>
                <w:sz w:val="18"/>
                <w:szCs w:val="18"/>
                <w:color w:val="auto"/>
              </w:rPr>
            </w:pPr>
          </w:p>
        </w:tc>
      </w:tr>
      <w:tr>
        <w:trPr>
          <w:trHeight w:val="432"/>
        </w:trPr>
        <w:tc>
          <w:tcPr>
            <w:tcW w:w="4780" w:type="dxa"/>
            <w:vAlign w:val="bottom"/>
          </w:tcPr>
          <w:p>
            <w:pPr>
              <w:spacing w:after="0"/>
              <w:rPr>
                <w:sz w:val="24"/>
                <w:szCs w:val="24"/>
                <w:color w:val="auto"/>
              </w:rPr>
            </w:pPr>
          </w:p>
        </w:tc>
        <w:tc>
          <w:tcPr>
            <w:tcW w:w="2780" w:type="dxa"/>
            <w:vAlign w:val="bottom"/>
          </w:tcPr>
          <w:p>
            <w:pPr>
              <w:jc w:val="right"/>
              <w:ind w:right="1670"/>
              <w:spacing w:after="0"/>
              <w:rPr>
                <w:sz w:val="20"/>
                <w:szCs w:val="20"/>
                <w:color w:val="auto"/>
              </w:rPr>
            </w:pPr>
            <w:r>
              <w:rPr>
                <w:rFonts w:ascii="Arial" w:cs="Arial" w:eastAsia="Arial" w:hAnsi="Arial"/>
                <w:sz w:val="18"/>
                <w:szCs w:val="18"/>
                <w:color w:val="auto"/>
              </w:rPr>
              <w:t>34</w:t>
            </w:r>
          </w:p>
        </w:tc>
        <w:tc>
          <w:tcPr>
            <w:tcW w:w="1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478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cash surrender value of the Company’s bank-owned life insurance (“BOLI”) assets increased $219 thousand, or 1.5% to $15.1 million at December 31, 2014, compared to $14.8 million at June 30, 2014.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12.5% of the Company’s total risk-based capital at December 31, 2014.</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Intangible assets totaled $2.5 million and $2.8 million at December 31, 2014 and June 30, 2014, respectively. The $332 thousand decrease was the result of core deposit intangible asset amortization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Borrowed Funds, 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December 31, 2014, non-maturity accounts and certificates of deposit with balances less than $250 thousand represented 99.8% of total deposits.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deposits increased $57.4 million to $631.7 million as of December 31, 2014 from $574.3 million as of June 30, 2014. The increase, which funded growth in the Company’s loan portfolio, was centered mainly in money market accounts attracted through the Bank’s ableBanking division. The composition of total deposits at December 31, 2014 and June 30, 2014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4"/>
          </w:tcPr>
          <w:p>
            <w:pPr>
              <w:ind w:left="62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Pr>
          <w:p>
            <w:pPr>
              <w:spacing w:after="0"/>
              <w:rPr>
                <w:sz w:val="14"/>
                <w:szCs w:val="14"/>
                <w:color w:val="auto"/>
              </w:rPr>
            </w:pPr>
          </w:p>
        </w:tc>
        <w:tc>
          <w:tcPr>
            <w:tcW w:w="1720" w:type="dxa"/>
            <w:vAlign w:val="bottom"/>
            <w:gridSpan w:val="3"/>
          </w:tcPr>
          <w:p>
            <w:pPr>
              <w:ind w:left="840"/>
              <w:spacing w:after="0"/>
              <w:rPr>
                <w:sz w:val="20"/>
                <w:szCs w:val="20"/>
                <w:color w:val="auto"/>
              </w:rPr>
            </w:pPr>
            <w:r>
              <w:rPr>
                <w:rFonts w:ascii="Arial" w:cs="Arial" w:eastAsia="Arial" w:hAnsi="Arial"/>
                <w:sz w:val="14"/>
                <w:szCs w:val="14"/>
                <w:b w:val="1"/>
                <w:bCs w:val="1"/>
                <w:color w:val="auto"/>
                <w:w w:val="94"/>
              </w:rPr>
              <w:t>June 30, 2014</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Percent of</w:t>
            </w:r>
          </w:p>
        </w:tc>
        <w:tc>
          <w:tcPr>
            <w:tcW w:w="4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3"/>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Percent of</w:t>
            </w:r>
          </w:p>
        </w:tc>
        <w:tc>
          <w:tcPr>
            <w:tcW w:w="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60" w:type="dxa"/>
            <w:vAlign w:val="bottom"/>
            <w:gridSpan w:val="2"/>
          </w:tcPr>
          <w:p>
            <w:pPr>
              <w:jc w:val="right"/>
              <w:ind w:right="79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360" w:type="dxa"/>
            <w:vAlign w:val="bottom"/>
            <w:gridSpan w:val="2"/>
          </w:tcPr>
          <w:p>
            <w:pPr>
              <w:jc w:val="right"/>
              <w:ind w:right="770"/>
              <w:spacing w:after="0"/>
              <w:rPr>
                <w:sz w:val="20"/>
                <w:szCs w:val="20"/>
                <w:color w:val="auto"/>
              </w:rPr>
            </w:pPr>
            <w:r>
              <w:rPr>
                <w:rFonts w:ascii="Arial" w:cs="Arial" w:eastAsia="Arial" w:hAnsi="Arial"/>
                <w:sz w:val="14"/>
                <w:szCs w:val="14"/>
                <w:b w:val="1"/>
                <w:bCs w:val="1"/>
                <w:color w:val="auto"/>
              </w:rPr>
              <w:t>Total</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gridSpan w:val="6"/>
          </w:tcPr>
          <w:p>
            <w:pPr>
              <w:ind w:left="8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51,920</w:t>
            </w:r>
          </w:p>
        </w:tc>
        <w:tc>
          <w:tcPr>
            <w:tcW w:w="1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50,140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8.73%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NOW accounts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61,644</w:t>
            </w: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9.76%</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63,648</w:t>
            </w:r>
          </w:p>
        </w:tc>
        <w:tc>
          <w:tcPr>
            <w:tcW w:w="34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11.08%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33,729</w:t>
            </w:r>
          </w:p>
        </w:tc>
        <w:tc>
          <w:tcPr>
            <w:tcW w:w="1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34,692</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Money market deposits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144,523</w:t>
            </w:r>
          </w:p>
        </w:tc>
        <w:tc>
          <w:tcPr>
            <w:tcW w:w="300" w:type="dxa"/>
            <w:vAlign w:val="bottom"/>
          </w:tcPr>
          <w:p>
            <w:pPr>
              <w:spacing w:after="0"/>
              <w:rPr>
                <w:sz w:val="18"/>
                <w:szCs w:val="18"/>
                <w:color w:val="auto"/>
              </w:rPr>
            </w:pP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22.88%</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83,901</w:t>
            </w:r>
          </w:p>
        </w:tc>
        <w:tc>
          <w:tcPr>
            <w:tcW w:w="34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14.61%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non-certificate accounts</w:t>
            </w: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291,816</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46.19%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232,381</w:t>
            </w:r>
          </w:p>
        </w:tc>
        <w:tc>
          <w:tcPr>
            <w:tcW w:w="2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40.46%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80" w:type="dxa"/>
            <w:vAlign w:val="bottom"/>
          </w:tcPr>
          <w:p>
            <w:pPr>
              <w:spacing w:after="0" w:line="182" w:lineRule="exact"/>
              <w:rPr>
                <w:sz w:val="20"/>
                <w:szCs w:val="20"/>
                <w:color w:val="auto"/>
              </w:rPr>
            </w:pPr>
            <w:r>
              <w:rPr>
                <w:rFonts w:ascii="Arial" w:cs="Arial" w:eastAsia="Arial" w:hAnsi="Arial"/>
                <w:sz w:val="18"/>
                <w:szCs w:val="18"/>
                <w:color w:val="auto"/>
              </w:rPr>
              <w:t>Term certificates less than $250</w:t>
            </w: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thousand</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338,751</w:t>
            </w:r>
          </w:p>
        </w:tc>
        <w:tc>
          <w:tcPr>
            <w:tcW w:w="300" w:type="dxa"/>
            <w:vAlign w:val="bottom"/>
          </w:tcPr>
          <w:p>
            <w:pPr>
              <w:spacing w:after="0"/>
              <w:rPr>
                <w:sz w:val="20"/>
                <w:szCs w:val="20"/>
                <w:color w:val="auto"/>
              </w:rPr>
            </w:pP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53.62%</w:t>
            </w:r>
          </w:p>
        </w:tc>
        <w:tc>
          <w:tcPr>
            <w:tcW w:w="2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339,616</w:t>
            </w:r>
          </w:p>
        </w:tc>
        <w:tc>
          <w:tcPr>
            <w:tcW w:w="34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59.13%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Term certificates of $250 thousand or</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more</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3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2,332</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0.41%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ind w:left="180"/>
              <w:spacing w:after="0"/>
              <w:rPr>
                <w:sz w:val="20"/>
                <w:szCs w:val="20"/>
                <w:color w:val="auto"/>
              </w:rPr>
            </w:pPr>
            <w:r>
              <w:rPr>
                <w:rFonts w:ascii="Arial" w:cs="Arial" w:eastAsia="Arial" w:hAnsi="Arial"/>
                <w:sz w:val="18"/>
                <w:szCs w:val="18"/>
                <w:color w:val="auto"/>
              </w:rPr>
              <w:t>Total certificate accounts</w:t>
            </w: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339,904</w:t>
            </w:r>
          </w:p>
        </w:tc>
        <w:tc>
          <w:tcPr>
            <w:tcW w:w="300" w:type="dxa"/>
            <w:vAlign w:val="bottom"/>
          </w:tcPr>
          <w:p>
            <w:pPr>
              <w:spacing w:after="0"/>
              <w:rPr>
                <w:sz w:val="18"/>
                <w:szCs w:val="18"/>
                <w:color w:val="auto"/>
              </w:rPr>
            </w:pP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53.81%</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341,948</w:t>
            </w:r>
          </w:p>
        </w:tc>
        <w:tc>
          <w:tcPr>
            <w:tcW w:w="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59.54%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631,720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574,329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9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Borrowed Funds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Advances from the FHLB were $35.2 million and $42.8 million at December 31, 2014 and June 30, 2014, respectively; the decrease was due to $7.5 million of maturing advances during the period. At December 31, 2014, the Company had pledged investment securities with a fair value of $21.2 million, as well as certain residential real estate loans, commercial real estate loans, and FHLB deposits free of liens or pledges to secure outstanding advances and available additional borrowing capacity.</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Wholesale repurchase agreements were $10.1 million and $10.2 million at December 31, 2014 and June 30, 2014, respectively. At December 31, 2014, the Company had pledged investment securities with a fair value of $13.5 million as collateral for outstanding wholesale repurchase agreements.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Short-term borrowings, consisting of sweep accounts and repurchase agreements, were $2.8 million and $3.0 million as of December 31, 2014 and June 30,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is a summary of unused borrowing capacity of the Company at December 31, 2014, in addition to traditional retail deposit products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201,646</w:t>
            </w: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6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86,769</w:t>
            </w:r>
          </w:p>
        </w:tc>
        <w:tc>
          <w:tcPr>
            <w:tcW w:w="4820" w:type="dxa"/>
            <w:vAlign w:val="bottom"/>
          </w:tcPr>
          <w:p>
            <w:pPr>
              <w:ind w:left="140"/>
              <w:spacing w:after="0"/>
              <w:rPr>
                <w:sz w:val="20"/>
                <w:szCs w:val="20"/>
                <w:color w:val="auto"/>
              </w:rPr>
            </w:pPr>
            <w:r>
              <w:rPr>
                <w:rFonts w:ascii="Arial" w:cs="Arial" w:eastAsia="Arial" w:hAnsi="Arial"/>
                <w:sz w:val="18"/>
                <w:szCs w:val="18"/>
                <w:color w:val="auto"/>
              </w:rPr>
              <w:t>Subject to eligible and qualified collateral</w:t>
            </w: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Reserve Discount Window</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Borrower-in-Custody</w:t>
            </w:r>
          </w:p>
        </w:tc>
        <w:tc>
          <w:tcPr>
            <w:tcW w:w="6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40" w:type="dxa"/>
            <w:vAlign w:val="bottom"/>
            <w:shd w:val="clear" w:color="auto" w:fill="CCEEFF"/>
          </w:tcPr>
          <w:p>
            <w:pPr>
              <w:spacing w:after="0"/>
              <w:rPr>
                <w:sz w:val="20"/>
                <w:szCs w:val="20"/>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Subject to the pledge of indirect auto loans</w:t>
            </w:r>
          </w:p>
        </w:tc>
      </w:tr>
    </w:tbl>
    <w:p>
      <w:pPr>
        <w:sectPr>
          <w:pgSz w:w="11900" w:h="16838" w:orient="portrait"/>
          <w:cols w:equalWidth="0" w:num="1">
            <w:col w:w="11460"/>
          </w:cols>
          <w:pgMar w:left="240" w:top="125" w:right="19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Total unused borrowing capacity</w:t>
            </w:r>
          </w:p>
        </w:tc>
        <w:tc>
          <w:tcPr>
            <w:tcW w:w="6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289,829</w:t>
            </w:r>
          </w:p>
        </w:tc>
        <w:tc>
          <w:tcPr>
            <w:tcW w:w="4940" w:type="dxa"/>
            <w:vAlign w:val="bottom"/>
          </w:tcPr>
          <w:p>
            <w:pPr>
              <w:spacing w:after="0"/>
              <w:rPr>
                <w:sz w:val="20"/>
                <w:szCs w:val="20"/>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Unencumbered investment securities</w:t>
            </w: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73,116</w:t>
            </w:r>
          </w:p>
        </w:tc>
        <w:tc>
          <w:tcPr>
            <w:tcW w:w="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Total sources of liquidity</w:t>
            </w: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362,945</w:t>
            </w:r>
          </w:p>
        </w:tc>
        <w:tc>
          <w:tcPr>
            <w:tcW w:w="20" w:type="dxa"/>
            <w:vAlign w:val="bottom"/>
            <w:tcBorders>
              <w:bottom w:val="single" w:sz="8" w:color="auto"/>
            </w:tcBorders>
          </w:tcPr>
          <w:p>
            <w:pPr>
              <w:spacing w:after="0"/>
              <w:rPr>
                <w:sz w:val="18"/>
                <w:szCs w:val="18"/>
                <w:color w:val="auto"/>
              </w:rPr>
            </w:pPr>
          </w:p>
        </w:tc>
        <w:tc>
          <w:tcPr>
            <w:tcW w:w="494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Retail deposits and other core deposit sources including deposit listing services are used by the Company to manage its overall liquidity position. While the Company typically does not seek wholesale funding such as brokered deposits, the ability to raise them remains an important part of its liquidity contingency planning. While management closely monitors and forecasts the Company’s liquidity position, it is affected by asset growth, deposit withdrawals and other contractual obligations and commitments. The accuracy of management’s forecast assumptions may increase or decrease the Company’s overall available liquidity.</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2014, the Company had $362.9 million of immediately accessible liquidity, defined as additional cash that could be raised within seven days through collateralized borrowings, brokered deposits or security sales. This position represented 44.8% of total assets. The Company also had $83.3 million of cash and cash equivalents at December 31, 2014.</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carrying amount and unpaid principal balance of junior subordinated debentures totaled $8.5 million and $16.5 million, respectively, as of December 31, 2014. This debt represents qualifying Tier 1 capital for the Company, up to a maximum of 25% of total Tier 1 capital. At December 31, 2014, the carrying amounts of the junior subordinated notes, net of the Company’s $496 thousand investment in the affiliated trusts, qualified as Tier 1 capital.</w:t>
      </w:r>
    </w:p>
    <w:p>
      <w:pPr>
        <w:spacing w:after="0" w:line="147"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At December 31, 2014, shareholders’ equity was $110.9 million, a decrease of $1.2 million, or 1.1% from June 30, 2014. Book value per outstanding common share was $11.27 at December 31, 2014 and $11.05 at June 30, 2014. Tier 1 capital to total average assets of the Company was 14.81% as of December 31, 2014 and 15.89% at June 30, 2014.</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to the risk-based capital requirements, under the rules in effect through December 31, 2014, the Federal Reserve required top-rated bank holding companies to maintain a minimum leverage capital ratio of Tier 1 capital (defined by reference to the risk-based capital guidelines) to its average total consolidated assets of at least 3.0%. For most other bank holding companies (including the Company), the minimum leverage capital ratio was 4.0%. Bank holding companies with supervisory, financial, operational or managerial weaknesses, as well as bank holding companies that are anticipating or experiencing significant growth, were expected to maintain capital ratios well above the minimum levels.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the effectiveness of the Dodd-Frank Wall Street Reform and Consumer Protection Act (the “Dodd-Frank Act”), the FDIC had adopted a statement of policy regarding the capital adequacy of state-chartered banks and promulgated regulations to implement the system of prompt corrective action established by Section 38 of the Federal Deposit Insurance Act (“FDIA”). Under the FDIC regulations, a bank was considered “well capitalized” if it had: (i) a total risk-based capital ratio of 10.0% or greater; (ii) a Tier 1 risk-based capital ratio of 6.0% or greater; (iii) a leverage capital ratio of 5.0% or greater; and (iv) was not subject to any written agreement, order, capital directive or prompt corrective action directive to meet and maintain a specific capital level for any capital measure.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2010, the Basel Committee on Banking Supervision released new capital requirements, known as Basel III, setting forth higher capital requirements, enhanced risk coverage, a global leverage ratio, provisions for counter-cyclical capital, and liquidity standards. In 2013, the Federal Reserve, along with the other federal banking agencies, issued final rules implementing the Basel III capital standards and establishing the minimum capital requirements for banks and bank holding companies required under the Dodd-Frank Act. These rules, which became effective January 1, 2015, establish a minimum common equity Tier 1 capital ratio requirement of 4.5%, a minimum Tier 1 capital ratio requirement of 6%, a minimum total capital requirement of 8.0% and a minimum leverage ratio requirement of 4%. Additionally, subject to a transition schedule, these rules require that an institution establish a capital conservation buffer of common equity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rules effective January 1, 2015, a bank holding company, such as the Company, is considered “well capitalized” if the bank holding company (i) has a total risk based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new capital rules implementing Basel III. Under the FDIC’s revised rules, which became effective January 1, 2015, an FDIC supervised institution is considered “well capitalized” if it (i) has a total risk-based capital ratio of 10.0% or greater; (ii) a Tier 1 risk-based capital ratio of 8.0% or greater; (iii) a common Tier 1 equity ratio of at least 6.5% or greater, (iv) a leverage capital ratio of 5.0% or greater; and (iv) is not subject to any written agreement, order, capital directive, or prompt corrective action directive to meet and maintain a specific capital level for any capital measure.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Bank are considered “well capitalized” under all regulatory definitions.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and the Bank’s regulatory capital ratios are set forth below.</w:t>
      </w:r>
    </w:p>
    <w:p>
      <w:pPr>
        <w:sectPr>
          <w:pgSz w:w="11900" w:h="16838" w:orient="portrait"/>
          <w:cols w:equalWidth="0" w:num="1">
            <w:col w:w="11400"/>
          </w:cols>
          <w:pgMar w:left="240" w:top="125" w:right="259" w:bottom="0" w:gutter="0" w:footer="0" w:header="0"/>
        </w:sectPr>
      </w:pPr>
    </w:p>
    <w:p>
      <w:pPr>
        <w:spacing w:after="0" w:line="217"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Minimum</w:t>
      </w:r>
    </w:p>
    <w:p>
      <w:pPr>
        <w:spacing w:after="0" w:line="4" w:lineRule="exact"/>
        <w:rPr>
          <w:sz w:val="20"/>
          <w:szCs w:val="20"/>
          <w:color w:val="auto"/>
        </w:rPr>
      </w:pPr>
    </w:p>
    <w:p>
      <w:pPr>
        <w:ind w:left="8280"/>
        <w:spacing w:after="0"/>
        <w:rPr>
          <w:sz w:val="20"/>
          <w:szCs w:val="20"/>
          <w:color w:val="auto"/>
        </w:rPr>
      </w:pPr>
      <w:r>
        <w:rPr>
          <w:rFonts w:ascii="Arial" w:cs="Arial" w:eastAsia="Arial" w:hAnsi="Arial"/>
          <w:sz w:val="12"/>
          <w:szCs w:val="12"/>
          <w:b w:val="1"/>
          <w:bCs w:val="1"/>
          <w:color w:val="auto"/>
        </w:rPr>
        <w:t>To Be Well</w:t>
      </w:r>
    </w:p>
    <w:p>
      <w:pPr>
        <w:sectPr>
          <w:pgSz w:w="11900" w:h="16838" w:orient="portrait"/>
          <w:cols w:equalWidth="0" w:num="1">
            <w:col w:w="11400"/>
          </w:cols>
          <w:pgMar w:left="240" w:top="125" w:right="259"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left="355"/>
              <w:spacing w:after="0"/>
              <w:rPr>
                <w:sz w:val="20"/>
                <w:szCs w:val="20"/>
                <w:color w:val="auto"/>
              </w:rPr>
            </w:pPr>
            <w:r>
              <w:rPr>
                <w:rFonts w:ascii="Arial" w:cs="Arial" w:eastAsia="Arial" w:hAnsi="Arial"/>
                <w:sz w:val="14"/>
                <w:szCs w:val="14"/>
                <w:b w:val="1"/>
                <w:bCs w:val="1"/>
                <w:color w:val="auto"/>
              </w:rPr>
              <w:t>Minimum</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4"/>
              </w:rPr>
              <w:t>Capitalized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Actual</w:t>
            </w: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left="355"/>
              <w:spacing w:after="0" w:line="149"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7"/>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Prompt Correction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left="355"/>
              <w:spacing w:after="0"/>
              <w:rPr>
                <w:sz w:val="20"/>
                <w:szCs w:val="20"/>
                <w:color w:val="auto"/>
              </w:rPr>
            </w:pPr>
            <w:r>
              <w:rPr>
                <w:rFonts w:ascii="Arial" w:cs="Arial" w:eastAsia="Arial" w:hAnsi="Arial"/>
                <w:sz w:val="14"/>
                <w:szCs w:val="14"/>
                <w:b w:val="1"/>
                <w:bCs w:val="1"/>
                <w:color w:val="auto"/>
                <w:w w:val="92"/>
              </w:rPr>
              <w:t>Requirements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0"/>
              </w:rPr>
              <w:t>Action Provisions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Ratio</w:t>
            </w:r>
          </w:p>
        </w:tc>
        <w:tc>
          <w:tcPr>
            <w:tcW w:w="4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5"/>
              <w:spacing w:after="0" w:line="142"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30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gridSpan w:val="5"/>
          </w:tcPr>
          <w:p>
            <w:pPr>
              <w:jc w:val="right"/>
              <w:ind w:right="200"/>
              <w:spacing w:after="0" w:line="142" w:lineRule="exact"/>
              <w:rPr>
                <w:sz w:val="20"/>
                <w:szCs w:val="20"/>
                <w:color w:val="auto"/>
              </w:rPr>
            </w:pPr>
            <w:r>
              <w:rPr>
                <w:rFonts w:ascii="Arial" w:cs="Arial" w:eastAsia="Arial" w:hAnsi="Arial"/>
                <w:sz w:val="14"/>
                <w:szCs w:val="14"/>
                <w:b w:val="1"/>
                <w:bCs w:val="1"/>
                <w:color w:val="auto"/>
              </w:rPr>
              <w:t>Ratio</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spacing w:after="0" w:line="201" w:lineRule="exact"/>
              <w:rPr>
                <w:sz w:val="20"/>
                <w:szCs w:val="20"/>
                <w:color w:val="auto"/>
              </w:rPr>
            </w:pPr>
            <w:r>
              <w:rPr>
                <w:rFonts w:ascii="Arial" w:cs="Arial" w:eastAsia="Arial" w:hAnsi="Arial"/>
                <w:sz w:val="18"/>
                <w:szCs w:val="18"/>
                <w:color w:val="auto"/>
              </w:rPr>
              <w:t>Total capital to risk weighted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213"/>
              <w:spacing w:after="0" w:line="176" w:lineRule="exact"/>
              <w:rPr>
                <w:sz w:val="20"/>
                <w:szCs w:val="20"/>
                <w:color w:val="auto"/>
              </w:rPr>
            </w:pPr>
            <w:r>
              <w:rPr>
                <w:rFonts w:ascii="Arial" w:cs="Arial" w:eastAsia="Arial" w:hAnsi="Arial"/>
                <w:sz w:val="18"/>
                <w:szCs w:val="18"/>
                <w:color w:val="auto"/>
              </w:rPr>
              <w:t>120,629</w:t>
            </w:r>
          </w:p>
        </w:tc>
        <w:tc>
          <w:tcPr>
            <w:tcW w:w="114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21.44%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395"/>
              <w:spacing w:after="0" w:line="176" w:lineRule="exact"/>
              <w:rPr>
                <w:sz w:val="20"/>
                <w:szCs w:val="20"/>
                <w:color w:val="auto"/>
              </w:rPr>
            </w:pPr>
            <w:r>
              <w:rPr>
                <w:rFonts w:ascii="Arial" w:cs="Arial" w:eastAsia="Arial" w:hAnsi="Arial"/>
                <w:sz w:val="18"/>
                <w:szCs w:val="18"/>
                <w:color w:val="auto"/>
              </w:rPr>
              <w:t>45,007</w:t>
            </w:r>
          </w:p>
        </w:tc>
        <w:tc>
          <w:tcPr>
            <w:tcW w:w="920" w:type="dxa"/>
            <w:vAlign w:val="bottom"/>
            <w:gridSpan w:val="4"/>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&gt;8.0%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14"/>
              <w:spacing w:after="0" w:line="176" w:lineRule="exact"/>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260" w:type="dxa"/>
            <w:vAlign w:val="bottom"/>
          </w:tcPr>
          <w:p>
            <w:pPr>
              <w:jc w:val="right"/>
              <w:ind w:right="213"/>
              <w:spacing w:after="0" w:line="176" w:lineRule="exact"/>
              <w:rPr>
                <w:sz w:val="20"/>
                <w:szCs w:val="20"/>
                <w:color w:val="auto"/>
              </w:rPr>
            </w:pPr>
            <w:r>
              <w:rPr>
                <w:rFonts w:ascii="Arial" w:cs="Arial" w:eastAsia="Arial" w:hAnsi="Arial"/>
                <w:sz w:val="18"/>
                <w:szCs w:val="18"/>
                <w:color w:val="auto"/>
              </w:rPr>
              <w:t>107,010</w:t>
            </w:r>
          </w:p>
        </w:tc>
        <w:tc>
          <w:tcPr>
            <w:tcW w:w="114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18.98%</w:t>
            </w:r>
          </w:p>
        </w:tc>
        <w:tc>
          <w:tcPr>
            <w:tcW w:w="180" w:type="dxa"/>
            <w:vAlign w:val="bottom"/>
          </w:tcPr>
          <w:p>
            <w:pPr>
              <w:spacing w:after="0"/>
              <w:rPr>
                <w:sz w:val="15"/>
                <w:szCs w:val="15"/>
                <w:color w:val="auto"/>
              </w:rPr>
            </w:pPr>
          </w:p>
        </w:tc>
        <w:tc>
          <w:tcPr>
            <w:tcW w:w="1340" w:type="dxa"/>
            <w:vAlign w:val="bottom"/>
          </w:tcPr>
          <w:p>
            <w:pPr>
              <w:jc w:val="right"/>
              <w:ind w:right="395"/>
              <w:spacing w:after="0" w:line="176" w:lineRule="exact"/>
              <w:rPr>
                <w:sz w:val="20"/>
                <w:szCs w:val="20"/>
                <w:color w:val="auto"/>
              </w:rPr>
            </w:pPr>
            <w:r>
              <w:rPr>
                <w:rFonts w:ascii="Arial" w:cs="Arial" w:eastAsia="Arial" w:hAnsi="Arial"/>
                <w:sz w:val="18"/>
                <w:szCs w:val="18"/>
                <w:color w:val="auto"/>
              </w:rPr>
              <w:t>45,110</w:t>
            </w:r>
          </w:p>
        </w:tc>
        <w:tc>
          <w:tcPr>
            <w:tcW w:w="920" w:type="dxa"/>
            <w:vAlign w:val="bottom"/>
            <w:gridSpan w:val="4"/>
          </w:tcPr>
          <w:p>
            <w:pPr>
              <w:jc w:val="right"/>
              <w:ind w:right="140"/>
              <w:spacing w:after="0" w:line="176" w:lineRule="exact"/>
              <w:rPr>
                <w:sz w:val="20"/>
                <w:szCs w:val="20"/>
                <w:color w:val="auto"/>
              </w:rPr>
            </w:pPr>
            <w:r>
              <w:rPr>
                <w:rFonts w:ascii="Arial" w:cs="Arial" w:eastAsia="Arial" w:hAnsi="Arial"/>
                <w:sz w:val="18"/>
                <w:szCs w:val="18"/>
                <w:color w:val="auto"/>
              </w:rPr>
              <w:t>&gt;8.0%</w:t>
            </w:r>
          </w:p>
        </w:tc>
        <w:tc>
          <w:tcPr>
            <w:tcW w:w="200" w:type="dxa"/>
            <w:vAlign w:val="bottom"/>
          </w:tcPr>
          <w:p>
            <w:pPr>
              <w:spacing w:after="0"/>
              <w:rPr>
                <w:sz w:val="15"/>
                <w:szCs w:val="15"/>
                <w:color w:val="auto"/>
              </w:rPr>
            </w:pPr>
          </w:p>
        </w:tc>
        <w:tc>
          <w:tcPr>
            <w:tcW w:w="1100" w:type="dxa"/>
            <w:vAlign w:val="bottom"/>
          </w:tcPr>
          <w:p>
            <w:pPr>
              <w:jc w:val="right"/>
              <w:ind w:right="114"/>
              <w:spacing w:after="0" w:line="176" w:lineRule="exact"/>
              <w:rPr>
                <w:sz w:val="20"/>
                <w:szCs w:val="20"/>
                <w:color w:val="auto"/>
              </w:rPr>
            </w:pPr>
            <w:r>
              <w:rPr>
                <w:rFonts w:ascii="Arial" w:cs="Arial" w:eastAsia="Arial" w:hAnsi="Arial"/>
                <w:sz w:val="18"/>
                <w:szCs w:val="18"/>
                <w:color w:val="auto"/>
              </w:rPr>
              <w:t>56,387</w:t>
            </w:r>
          </w:p>
        </w:tc>
        <w:tc>
          <w:tcPr>
            <w:tcW w:w="100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40" w:type="dxa"/>
            <w:vAlign w:val="bottom"/>
          </w:tcPr>
          <w:p>
            <w:pPr>
              <w:spacing w:after="0" w:line="201" w:lineRule="exact"/>
              <w:rPr>
                <w:sz w:val="20"/>
                <w:szCs w:val="20"/>
                <w:color w:val="auto"/>
              </w:rPr>
            </w:pPr>
            <w:r>
              <w:rPr>
                <w:rFonts w:ascii="Arial" w:cs="Arial" w:eastAsia="Arial" w:hAnsi="Arial"/>
                <w:sz w:val="18"/>
                <w:szCs w:val="18"/>
                <w:color w:val="auto"/>
              </w:rPr>
              <w:t>Tier 1 capital to risk weighted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13"/>
              <w:spacing w:after="0" w:line="176" w:lineRule="exact"/>
              <w:rPr>
                <w:sz w:val="20"/>
                <w:szCs w:val="20"/>
                <w:color w:val="auto"/>
              </w:rPr>
            </w:pPr>
            <w:r>
              <w:rPr>
                <w:rFonts w:ascii="Arial" w:cs="Arial" w:eastAsia="Arial" w:hAnsi="Arial"/>
                <w:sz w:val="18"/>
                <w:szCs w:val="18"/>
                <w:color w:val="auto"/>
              </w:rPr>
              <w:t>118,935</w:t>
            </w:r>
          </w:p>
        </w:tc>
        <w:tc>
          <w:tcPr>
            <w:tcW w:w="114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21.14%</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5"/>
              <w:spacing w:after="0" w:line="176" w:lineRule="exact"/>
              <w:rPr>
                <w:sz w:val="20"/>
                <w:szCs w:val="20"/>
                <w:color w:val="auto"/>
              </w:rPr>
            </w:pPr>
            <w:r>
              <w:rPr>
                <w:rFonts w:ascii="Arial" w:cs="Arial" w:eastAsia="Arial" w:hAnsi="Arial"/>
                <w:sz w:val="18"/>
                <w:szCs w:val="18"/>
                <w:color w:val="auto"/>
              </w:rPr>
              <w:t>22,504</w:t>
            </w:r>
          </w:p>
        </w:tc>
        <w:tc>
          <w:tcPr>
            <w:tcW w:w="920" w:type="dxa"/>
            <w:vAlign w:val="bottom"/>
            <w:gridSpan w:val="4"/>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&gt;4.0%</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4"/>
              <w:spacing w:after="0" w:line="176" w:lineRule="exact"/>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260" w:type="dxa"/>
            <w:vAlign w:val="bottom"/>
          </w:tcPr>
          <w:p>
            <w:pPr>
              <w:jc w:val="right"/>
              <w:ind w:right="213"/>
              <w:spacing w:after="0" w:line="176" w:lineRule="exact"/>
              <w:rPr>
                <w:sz w:val="20"/>
                <w:szCs w:val="20"/>
                <w:color w:val="auto"/>
              </w:rPr>
            </w:pPr>
            <w:r>
              <w:rPr>
                <w:rFonts w:ascii="Arial" w:cs="Arial" w:eastAsia="Arial" w:hAnsi="Arial"/>
                <w:sz w:val="18"/>
                <w:szCs w:val="18"/>
                <w:color w:val="auto"/>
              </w:rPr>
              <w:t>103,235</w:t>
            </w:r>
          </w:p>
        </w:tc>
        <w:tc>
          <w:tcPr>
            <w:tcW w:w="114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18.31%</w:t>
            </w:r>
          </w:p>
        </w:tc>
        <w:tc>
          <w:tcPr>
            <w:tcW w:w="180" w:type="dxa"/>
            <w:vAlign w:val="bottom"/>
          </w:tcPr>
          <w:p>
            <w:pPr>
              <w:spacing w:after="0"/>
              <w:rPr>
                <w:sz w:val="15"/>
                <w:szCs w:val="15"/>
                <w:color w:val="auto"/>
              </w:rPr>
            </w:pPr>
          </w:p>
        </w:tc>
        <w:tc>
          <w:tcPr>
            <w:tcW w:w="1340" w:type="dxa"/>
            <w:vAlign w:val="bottom"/>
          </w:tcPr>
          <w:p>
            <w:pPr>
              <w:jc w:val="right"/>
              <w:ind w:right="395"/>
              <w:spacing w:after="0" w:line="176" w:lineRule="exact"/>
              <w:rPr>
                <w:sz w:val="20"/>
                <w:szCs w:val="20"/>
                <w:color w:val="auto"/>
              </w:rPr>
            </w:pPr>
            <w:r>
              <w:rPr>
                <w:rFonts w:ascii="Arial" w:cs="Arial" w:eastAsia="Arial" w:hAnsi="Arial"/>
                <w:sz w:val="18"/>
                <w:szCs w:val="18"/>
                <w:color w:val="auto"/>
              </w:rPr>
              <w:t>22,555</w:t>
            </w:r>
          </w:p>
        </w:tc>
        <w:tc>
          <w:tcPr>
            <w:tcW w:w="920" w:type="dxa"/>
            <w:vAlign w:val="bottom"/>
            <w:gridSpan w:val="4"/>
          </w:tcPr>
          <w:p>
            <w:pPr>
              <w:jc w:val="right"/>
              <w:ind w:right="140"/>
              <w:spacing w:after="0" w:line="176" w:lineRule="exact"/>
              <w:rPr>
                <w:sz w:val="20"/>
                <w:szCs w:val="20"/>
                <w:color w:val="auto"/>
              </w:rPr>
            </w:pPr>
            <w:r>
              <w:rPr>
                <w:rFonts w:ascii="Arial" w:cs="Arial" w:eastAsia="Arial" w:hAnsi="Arial"/>
                <w:sz w:val="18"/>
                <w:szCs w:val="18"/>
                <w:color w:val="auto"/>
              </w:rPr>
              <w:t>&gt;4.0%</w:t>
            </w:r>
          </w:p>
        </w:tc>
        <w:tc>
          <w:tcPr>
            <w:tcW w:w="200" w:type="dxa"/>
            <w:vAlign w:val="bottom"/>
          </w:tcPr>
          <w:p>
            <w:pPr>
              <w:spacing w:after="0"/>
              <w:rPr>
                <w:sz w:val="15"/>
                <w:szCs w:val="15"/>
                <w:color w:val="auto"/>
              </w:rPr>
            </w:pPr>
          </w:p>
        </w:tc>
        <w:tc>
          <w:tcPr>
            <w:tcW w:w="1100" w:type="dxa"/>
            <w:vAlign w:val="bottom"/>
          </w:tcPr>
          <w:p>
            <w:pPr>
              <w:jc w:val="right"/>
              <w:ind w:right="114"/>
              <w:spacing w:after="0" w:line="176" w:lineRule="exact"/>
              <w:rPr>
                <w:sz w:val="20"/>
                <w:szCs w:val="20"/>
                <w:color w:val="auto"/>
              </w:rPr>
            </w:pPr>
            <w:r>
              <w:rPr>
                <w:rFonts w:ascii="Arial" w:cs="Arial" w:eastAsia="Arial" w:hAnsi="Arial"/>
                <w:sz w:val="18"/>
                <w:szCs w:val="18"/>
                <w:color w:val="auto"/>
              </w:rPr>
              <w:t>33,832</w:t>
            </w:r>
          </w:p>
        </w:tc>
        <w:tc>
          <w:tcPr>
            <w:tcW w:w="100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8"/>
              </w:rPr>
              <w:t>Tier 1 capital to average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13"/>
              <w:spacing w:after="0" w:line="176" w:lineRule="exact"/>
              <w:rPr>
                <w:sz w:val="20"/>
                <w:szCs w:val="20"/>
                <w:color w:val="auto"/>
              </w:rPr>
            </w:pPr>
            <w:r>
              <w:rPr>
                <w:rFonts w:ascii="Arial" w:cs="Arial" w:eastAsia="Arial" w:hAnsi="Arial"/>
                <w:sz w:val="18"/>
                <w:szCs w:val="18"/>
                <w:color w:val="auto"/>
              </w:rPr>
              <w:t>118,935</w:t>
            </w:r>
          </w:p>
        </w:tc>
        <w:tc>
          <w:tcPr>
            <w:tcW w:w="114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14.81%</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5"/>
              <w:spacing w:after="0" w:line="176" w:lineRule="exact"/>
              <w:rPr>
                <w:sz w:val="20"/>
                <w:szCs w:val="20"/>
                <w:color w:val="auto"/>
              </w:rPr>
            </w:pPr>
            <w:r>
              <w:rPr>
                <w:rFonts w:ascii="Arial" w:cs="Arial" w:eastAsia="Arial" w:hAnsi="Arial"/>
                <w:sz w:val="18"/>
                <w:szCs w:val="18"/>
                <w:color w:val="auto"/>
              </w:rPr>
              <w:t>32,114</w:t>
            </w:r>
          </w:p>
        </w:tc>
        <w:tc>
          <w:tcPr>
            <w:tcW w:w="920" w:type="dxa"/>
            <w:vAlign w:val="bottom"/>
            <w:gridSpan w:val="4"/>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&gt;4.0%</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4"/>
              <w:spacing w:after="0" w:line="176" w:lineRule="exact"/>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260" w:type="dxa"/>
            <w:vAlign w:val="bottom"/>
          </w:tcPr>
          <w:p>
            <w:pPr>
              <w:jc w:val="right"/>
              <w:ind w:right="213"/>
              <w:spacing w:after="0" w:line="176" w:lineRule="exact"/>
              <w:rPr>
                <w:sz w:val="20"/>
                <w:szCs w:val="20"/>
                <w:color w:val="auto"/>
              </w:rPr>
            </w:pPr>
            <w:r>
              <w:rPr>
                <w:rFonts w:ascii="Arial" w:cs="Arial" w:eastAsia="Arial" w:hAnsi="Arial"/>
                <w:sz w:val="18"/>
                <w:szCs w:val="18"/>
                <w:color w:val="auto"/>
              </w:rPr>
              <w:t>103,235</w:t>
            </w:r>
          </w:p>
        </w:tc>
        <w:tc>
          <w:tcPr>
            <w:tcW w:w="114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12.88%</w:t>
            </w:r>
          </w:p>
        </w:tc>
        <w:tc>
          <w:tcPr>
            <w:tcW w:w="180" w:type="dxa"/>
            <w:vAlign w:val="bottom"/>
          </w:tcPr>
          <w:p>
            <w:pPr>
              <w:spacing w:after="0"/>
              <w:rPr>
                <w:sz w:val="15"/>
                <w:szCs w:val="15"/>
                <w:color w:val="auto"/>
              </w:rPr>
            </w:pPr>
          </w:p>
        </w:tc>
        <w:tc>
          <w:tcPr>
            <w:tcW w:w="1340" w:type="dxa"/>
            <w:vAlign w:val="bottom"/>
          </w:tcPr>
          <w:p>
            <w:pPr>
              <w:jc w:val="right"/>
              <w:ind w:right="395"/>
              <w:spacing w:after="0" w:line="176" w:lineRule="exact"/>
              <w:rPr>
                <w:sz w:val="20"/>
                <w:szCs w:val="20"/>
                <w:color w:val="auto"/>
              </w:rPr>
            </w:pPr>
            <w:r>
              <w:rPr>
                <w:rFonts w:ascii="Arial" w:cs="Arial" w:eastAsia="Arial" w:hAnsi="Arial"/>
                <w:sz w:val="18"/>
                <w:szCs w:val="18"/>
                <w:color w:val="auto"/>
              </w:rPr>
              <w:t>32,067</w:t>
            </w:r>
          </w:p>
        </w:tc>
        <w:tc>
          <w:tcPr>
            <w:tcW w:w="920" w:type="dxa"/>
            <w:vAlign w:val="bottom"/>
            <w:gridSpan w:val="4"/>
          </w:tcPr>
          <w:p>
            <w:pPr>
              <w:jc w:val="right"/>
              <w:ind w:right="140"/>
              <w:spacing w:after="0" w:line="176" w:lineRule="exact"/>
              <w:rPr>
                <w:sz w:val="20"/>
                <w:szCs w:val="20"/>
                <w:color w:val="auto"/>
              </w:rPr>
            </w:pPr>
            <w:r>
              <w:rPr>
                <w:rFonts w:ascii="Arial" w:cs="Arial" w:eastAsia="Arial" w:hAnsi="Arial"/>
                <w:sz w:val="18"/>
                <w:szCs w:val="18"/>
                <w:color w:val="auto"/>
              </w:rPr>
              <w:t>&gt;4.0%</w:t>
            </w:r>
          </w:p>
        </w:tc>
        <w:tc>
          <w:tcPr>
            <w:tcW w:w="200" w:type="dxa"/>
            <w:vAlign w:val="bottom"/>
          </w:tcPr>
          <w:p>
            <w:pPr>
              <w:spacing w:after="0"/>
              <w:rPr>
                <w:sz w:val="15"/>
                <w:szCs w:val="15"/>
                <w:color w:val="auto"/>
              </w:rPr>
            </w:pPr>
          </w:p>
        </w:tc>
        <w:tc>
          <w:tcPr>
            <w:tcW w:w="1100" w:type="dxa"/>
            <w:vAlign w:val="bottom"/>
          </w:tcPr>
          <w:p>
            <w:pPr>
              <w:jc w:val="right"/>
              <w:ind w:right="114"/>
              <w:spacing w:after="0" w:line="176" w:lineRule="exact"/>
              <w:rPr>
                <w:sz w:val="20"/>
                <w:szCs w:val="20"/>
                <w:color w:val="auto"/>
              </w:rPr>
            </w:pPr>
            <w:r>
              <w:rPr>
                <w:rFonts w:ascii="Arial" w:cs="Arial" w:eastAsia="Arial" w:hAnsi="Arial"/>
                <w:sz w:val="18"/>
                <w:szCs w:val="18"/>
                <w:color w:val="auto"/>
              </w:rPr>
              <w:t>40,084</w:t>
            </w:r>
          </w:p>
        </w:tc>
        <w:tc>
          <w:tcPr>
            <w:tcW w:w="100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June 30, 2014:</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capital to risk weighted</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213"/>
              <w:spacing w:after="0" w:line="176" w:lineRule="exact"/>
              <w:rPr>
                <w:sz w:val="20"/>
                <w:szCs w:val="20"/>
                <w:color w:val="auto"/>
              </w:rPr>
            </w:pPr>
            <w:r>
              <w:rPr>
                <w:rFonts w:ascii="Arial" w:cs="Arial" w:eastAsia="Arial" w:hAnsi="Arial"/>
                <w:sz w:val="18"/>
                <w:szCs w:val="18"/>
                <w:color w:val="auto"/>
              </w:rPr>
              <w:t>120,818</w:t>
            </w:r>
          </w:p>
        </w:tc>
        <w:tc>
          <w:tcPr>
            <w:tcW w:w="114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23.69%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395"/>
              <w:spacing w:after="0" w:line="176" w:lineRule="exact"/>
              <w:rPr>
                <w:sz w:val="20"/>
                <w:szCs w:val="20"/>
                <w:color w:val="auto"/>
              </w:rPr>
            </w:pPr>
            <w:r>
              <w:rPr>
                <w:rFonts w:ascii="Arial" w:cs="Arial" w:eastAsia="Arial" w:hAnsi="Arial"/>
                <w:sz w:val="18"/>
                <w:szCs w:val="18"/>
                <w:color w:val="auto"/>
              </w:rPr>
              <w:t>40,808</w:t>
            </w:r>
          </w:p>
        </w:tc>
        <w:tc>
          <w:tcPr>
            <w:tcW w:w="920" w:type="dxa"/>
            <w:vAlign w:val="bottom"/>
            <w:gridSpan w:val="4"/>
          </w:tcPr>
          <w:p>
            <w:pPr>
              <w:jc w:val="right"/>
              <w:ind w:right="140"/>
              <w:spacing w:after="0" w:line="176" w:lineRule="exact"/>
              <w:rPr>
                <w:sz w:val="20"/>
                <w:szCs w:val="20"/>
                <w:color w:val="auto"/>
              </w:rPr>
            </w:pPr>
            <w:r>
              <w:rPr>
                <w:rFonts w:ascii="Arial" w:cs="Arial" w:eastAsia="Arial" w:hAnsi="Arial"/>
                <w:sz w:val="18"/>
                <w:szCs w:val="18"/>
                <w:color w:val="auto"/>
              </w:rPr>
              <w:t>&gt;8.0%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14"/>
              <w:spacing w:after="0" w:line="176" w:lineRule="exact"/>
              <w:rPr>
                <w:sz w:val="20"/>
                <w:szCs w:val="20"/>
                <w:color w:val="auto"/>
              </w:rPr>
            </w:pPr>
            <w:r>
              <w:rPr>
                <w:rFonts w:ascii="Arial" w:cs="Arial" w:eastAsia="Arial" w:hAnsi="Arial"/>
                <w:sz w:val="18"/>
                <w:szCs w:val="18"/>
                <w:color w:val="auto"/>
              </w:rPr>
              <w:t>N/A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jc w:val="right"/>
              <w:ind w:right="2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3"/>
              <w:spacing w:after="0" w:line="176" w:lineRule="exact"/>
              <w:rPr>
                <w:sz w:val="20"/>
                <w:szCs w:val="20"/>
                <w:color w:val="auto"/>
              </w:rPr>
            </w:pPr>
            <w:r>
              <w:rPr>
                <w:rFonts w:ascii="Arial" w:cs="Arial" w:eastAsia="Arial" w:hAnsi="Arial"/>
                <w:sz w:val="18"/>
                <w:szCs w:val="18"/>
                <w:color w:val="auto"/>
              </w:rPr>
              <w:t>103,160</w:t>
            </w:r>
          </w:p>
        </w:tc>
        <w:tc>
          <w:tcPr>
            <w:tcW w:w="114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5"/>
              <w:spacing w:after="0" w:line="176" w:lineRule="exact"/>
              <w:rPr>
                <w:sz w:val="20"/>
                <w:szCs w:val="20"/>
                <w:color w:val="auto"/>
              </w:rPr>
            </w:pPr>
            <w:r>
              <w:rPr>
                <w:rFonts w:ascii="Arial" w:cs="Arial" w:eastAsia="Arial" w:hAnsi="Arial"/>
                <w:sz w:val="18"/>
                <w:szCs w:val="18"/>
                <w:color w:val="auto"/>
              </w:rPr>
              <w:t>41,027</w:t>
            </w:r>
          </w:p>
        </w:tc>
        <w:tc>
          <w:tcPr>
            <w:tcW w:w="920" w:type="dxa"/>
            <w:vAlign w:val="bottom"/>
            <w:gridSpan w:val="4"/>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&gt;8.0%</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4"/>
              <w:spacing w:after="0" w:line="176" w:lineRule="exact"/>
              <w:rPr>
                <w:sz w:val="20"/>
                <w:szCs w:val="20"/>
                <w:color w:val="auto"/>
              </w:rPr>
            </w:pPr>
            <w:r>
              <w:rPr>
                <w:rFonts w:ascii="Arial" w:cs="Arial" w:eastAsia="Arial" w:hAnsi="Arial"/>
                <w:sz w:val="18"/>
                <w:szCs w:val="18"/>
                <w:color w:val="auto"/>
              </w:rPr>
              <w:t>51,284</w:t>
            </w:r>
          </w:p>
        </w:tc>
        <w:tc>
          <w:tcPr>
            <w:tcW w:w="1000" w:type="dxa"/>
            <w:vAlign w:val="bottom"/>
            <w:gridSpan w:val="6"/>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capital to risk weighted</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5"/>
                <w:szCs w:val="15"/>
                <w:color w:val="auto"/>
              </w:rPr>
            </w:pPr>
          </w:p>
        </w:tc>
        <w:tc>
          <w:tcPr>
            <w:tcW w:w="1260" w:type="dxa"/>
            <w:vAlign w:val="bottom"/>
          </w:tcPr>
          <w:p>
            <w:pPr>
              <w:jc w:val="right"/>
              <w:ind w:right="213"/>
              <w:spacing w:after="0" w:line="176" w:lineRule="exact"/>
              <w:rPr>
                <w:sz w:val="20"/>
                <w:szCs w:val="20"/>
                <w:color w:val="auto"/>
              </w:rPr>
            </w:pPr>
            <w:r>
              <w:rPr>
                <w:rFonts w:ascii="Arial" w:cs="Arial" w:eastAsia="Arial" w:hAnsi="Arial"/>
                <w:sz w:val="18"/>
                <w:szCs w:val="18"/>
                <w:color w:val="auto"/>
              </w:rPr>
              <w:t>119,421</w:t>
            </w:r>
          </w:p>
        </w:tc>
        <w:tc>
          <w:tcPr>
            <w:tcW w:w="114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23.41%</w:t>
            </w:r>
          </w:p>
        </w:tc>
        <w:tc>
          <w:tcPr>
            <w:tcW w:w="180" w:type="dxa"/>
            <w:vAlign w:val="bottom"/>
          </w:tcPr>
          <w:p>
            <w:pPr>
              <w:spacing w:after="0"/>
              <w:rPr>
                <w:sz w:val="15"/>
                <w:szCs w:val="15"/>
                <w:color w:val="auto"/>
              </w:rPr>
            </w:pPr>
          </w:p>
        </w:tc>
        <w:tc>
          <w:tcPr>
            <w:tcW w:w="1340" w:type="dxa"/>
            <w:vAlign w:val="bottom"/>
          </w:tcPr>
          <w:p>
            <w:pPr>
              <w:jc w:val="right"/>
              <w:ind w:right="395"/>
              <w:spacing w:after="0" w:line="176" w:lineRule="exact"/>
              <w:rPr>
                <w:sz w:val="20"/>
                <w:szCs w:val="20"/>
                <w:color w:val="auto"/>
              </w:rPr>
            </w:pPr>
            <w:r>
              <w:rPr>
                <w:rFonts w:ascii="Arial" w:cs="Arial" w:eastAsia="Arial" w:hAnsi="Arial"/>
                <w:sz w:val="18"/>
                <w:szCs w:val="18"/>
                <w:color w:val="auto"/>
              </w:rPr>
              <w:t>20,404</w:t>
            </w:r>
          </w:p>
        </w:tc>
        <w:tc>
          <w:tcPr>
            <w:tcW w:w="920" w:type="dxa"/>
            <w:vAlign w:val="bottom"/>
            <w:gridSpan w:val="4"/>
          </w:tcPr>
          <w:p>
            <w:pPr>
              <w:jc w:val="right"/>
              <w:ind w:right="140"/>
              <w:spacing w:after="0" w:line="176" w:lineRule="exact"/>
              <w:rPr>
                <w:sz w:val="20"/>
                <w:szCs w:val="20"/>
                <w:color w:val="auto"/>
              </w:rPr>
            </w:pPr>
            <w:r>
              <w:rPr>
                <w:rFonts w:ascii="Arial" w:cs="Arial" w:eastAsia="Arial" w:hAnsi="Arial"/>
                <w:sz w:val="18"/>
                <w:szCs w:val="18"/>
                <w:color w:val="auto"/>
              </w:rPr>
              <w:t>&gt;4.0%</w:t>
            </w:r>
          </w:p>
        </w:tc>
        <w:tc>
          <w:tcPr>
            <w:tcW w:w="200" w:type="dxa"/>
            <w:vAlign w:val="bottom"/>
          </w:tcPr>
          <w:p>
            <w:pPr>
              <w:spacing w:after="0"/>
              <w:rPr>
                <w:sz w:val="15"/>
                <w:szCs w:val="15"/>
                <w:color w:val="auto"/>
              </w:rPr>
            </w:pPr>
          </w:p>
        </w:tc>
        <w:tc>
          <w:tcPr>
            <w:tcW w:w="1100" w:type="dxa"/>
            <w:vAlign w:val="bottom"/>
          </w:tcPr>
          <w:p>
            <w:pPr>
              <w:jc w:val="right"/>
              <w:ind w:right="114"/>
              <w:spacing w:after="0" w:line="176" w:lineRule="exact"/>
              <w:rPr>
                <w:sz w:val="20"/>
                <w:szCs w:val="20"/>
                <w:color w:val="auto"/>
              </w:rPr>
            </w:pPr>
            <w:r>
              <w:rPr>
                <w:rFonts w:ascii="Arial" w:cs="Arial" w:eastAsia="Arial" w:hAnsi="Arial"/>
                <w:sz w:val="18"/>
                <w:szCs w:val="18"/>
                <w:color w:val="auto"/>
              </w:rPr>
              <w:t>N/A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jc w:val="right"/>
              <w:ind w:right="2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3"/>
              <w:spacing w:after="0" w:line="176" w:lineRule="exact"/>
              <w:rPr>
                <w:sz w:val="20"/>
                <w:szCs w:val="20"/>
                <w:color w:val="auto"/>
              </w:rPr>
            </w:pPr>
            <w:r>
              <w:rPr>
                <w:rFonts w:ascii="Arial" w:cs="Arial" w:eastAsia="Arial" w:hAnsi="Arial"/>
                <w:sz w:val="18"/>
                <w:szCs w:val="18"/>
                <w:color w:val="auto"/>
              </w:rPr>
              <w:t>99,256</w:t>
            </w:r>
          </w:p>
        </w:tc>
        <w:tc>
          <w:tcPr>
            <w:tcW w:w="114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19.35%</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5"/>
              <w:spacing w:after="0" w:line="176" w:lineRule="exact"/>
              <w:rPr>
                <w:sz w:val="20"/>
                <w:szCs w:val="20"/>
                <w:color w:val="auto"/>
              </w:rPr>
            </w:pPr>
            <w:r>
              <w:rPr>
                <w:rFonts w:ascii="Arial" w:cs="Arial" w:eastAsia="Arial" w:hAnsi="Arial"/>
                <w:sz w:val="18"/>
                <w:szCs w:val="18"/>
                <w:color w:val="auto"/>
              </w:rPr>
              <w:t>20,514</w:t>
            </w:r>
          </w:p>
        </w:tc>
        <w:tc>
          <w:tcPr>
            <w:tcW w:w="920" w:type="dxa"/>
            <w:vAlign w:val="bottom"/>
            <w:gridSpan w:val="4"/>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&gt;4.0%</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4"/>
              <w:spacing w:after="0" w:line="176" w:lineRule="exact"/>
              <w:rPr>
                <w:sz w:val="20"/>
                <w:szCs w:val="20"/>
                <w:color w:val="auto"/>
              </w:rPr>
            </w:pPr>
            <w:r>
              <w:rPr>
                <w:rFonts w:ascii="Arial" w:cs="Arial" w:eastAsia="Arial" w:hAnsi="Arial"/>
                <w:sz w:val="18"/>
                <w:szCs w:val="18"/>
                <w:color w:val="auto"/>
              </w:rPr>
              <w:t>30,771</w:t>
            </w:r>
          </w:p>
        </w:tc>
        <w:tc>
          <w:tcPr>
            <w:tcW w:w="1000" w:type="dxa"/>
            <w:vAlign w:val="bottom"/>
            <w:gridSpan w:val="6"/>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8"/>
              </w:rPr>
              <w:t>Tier 1 capital to average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5"/>
                <w:szCs w:val="15"/>
                <w:color w:val="auto"/>
              </w:rPr>
            </w:pPr>
          </w:p>
        </w:tc>
        <w:tc>
          <w:tcPr>
            <w:tcW w:w="1260" w:type="dxa"/>
            <w:vAlign w:val="bottom"/>
          </w:tcPr>
          <w:p>
            <w:pPr>
              <w:jc w:val="right"/>
              <w:ind w:right="213"/>
              <w:spacing w:after="0" w:line="176" w:lineRule="exact"/>
              <w:rPr>
                <w:sz w:val="20"/>
                <w:szCs w:val="20"/>
                <w:color w:val="auto"/>
              </w:rPr>
            </w:pPr>
            <w:r>
              <w:rPr>
                <w:rFonts w:ascii="Arial" w:cs="Arial" w:eastAsia="Arial" w:hAnsi="Arial"/>
                <w:sz w:val="18"/>
                <w:szCs w:val="18"/>
                <w:color w:val="auto"/>
              </w:rPr>
              <w:t>119,421</w:t>
            </w:r>
          </w:p>
        </w:tc>
        <w:tc>
          <w:tcPr>
            <w:tcW w:w="114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15.90%</w:t>
            </w:r>
          </w:p>
        </w:tc>
        <w:tc>
          <w:tcPr>
            <w:tcW w:w="180" w:type="dxa"/>
            <w:vAlign w:val="bottom"/>
          </w:tcPr>
          <w:p>
            <w:pPr>
              <w:spacing w:after="0"/>
              <w:rPr>
                <w:sz w:val="15"/>
                <w:szCs w:val="15"/>
                <w:color w:val="auto"/>
              </w:rPr>
            </w:pPr>
          </w:p>
        </w:tc>
        <w:tc>
          <w:tcPr>
            <w:tcW w:w="1340" w:type="dxa"/>
            <w:vAlign w:val="bottom"/>
          </w:tcPr>
          <w:p>
            <w:pPr>
              <w:jc w:val="right"/>
              <w:ind w:right="395"/>
              <w:spacing w:after="0" w:line="176" w:lineRule="exact"/>
              <w:rPr>
                <w:sz w:val="20"/>
                <w:szCs w:val="20"/>
                <w:color w:val="auto"/>
              </w:rPr>
            </w:pPr>
            <w:r>
              <w:rPr>
                <w:rFonts w:ascii="Arial" w:cs="Arial" w:eastAsia="Arial" w:hAnsi="Arial"/>
                <w:sz w:val="18"/>
                <w:szCs w:val="18"/>
                <w:color w:val="auto"/>
              </w:rPr>
              <w:t>30,049</w:t>
            </w:r>
          </w:p>
        </w:tc>
        <w:tc>
          <w:tcPr>
            <w:tcW w:w="920" w:type="dxa"/>
            <w:vAlign w:val="bottom"/>
            <w:gridSpan w:val="4"/>
          </w:tcPr>
          <w:p>
            <w:pPr>
              <w:jc w:val="right"/>
              <w:ind w:right="140"/>
              <w:spacing w:after="0" w:line="176" w:lineRule="exact"/>
              <w:rPr>
                <w:sz w:val="20"/>
                <w:szCs w:val="20"/>
                <w:color w:val="auto"/>
              </w:rPr>
            </w:pPr>
            <w:r>
              <w:rPr>
                <w:rFonts w:ascii="Arial" w:cs="Arial" w:eastAsia="Arial" w:hAnsi="Arial"/>
                <w:sz w:val="18"/>
                <w:szCs w:val="18"/>
                <w:color w:val="auto"/>
              </w:rPr>
              <w:t>&gt;4.0%</w:t>
            </w:r>
          </w:p>
        </w:tc>
        <w:tc>
          <w:tcPr>
            <w:tcW w:w="200" w:type="dxa"/>
            <w:vAlign w:val="bottom"/>
          </w:tcPr>
          <w:p>
            <w:pPr>
              <w:spacing w:after="0"/>
              <w:rPr>
                <w:sz w:val="15"/>
                <w:szCs w:val="15"/>
                <w:color w:val="auto"/>
              </w:rPr>
            </w:pPr>
          </w:p>
        </w:tc>
        <w:tc>
          <w:tcPr>
            <w:tcW w:w="1100" w:type="dxa"/>
            <w:vAlign w:val="bottom"/>
          </w:tcPr>
          <w:p>
            <w:pPr>
              <w:jc w:val="right"/>
              <w:ind w:right="114"/>
              <w:spacing w:after="0" w:line="176" w:lineRule="exact"/>
              <w:rPr>
                <w:sz w:val="20"/>
                <w:szCs w:val="20"/>
                <w:color w:val="auto"/>
              </w:rPr>
            </w:pPr>
            <w:r>
              <w:rPr>
                <w:rFonts w:ascii="Arial" w:cs="Arial" w:eastAsia="Arial" w:hAnsi="Arial"/>
                <w:sz w:val="18"/>
                <w:szCs w:val="18"/>
                <w:color w:val="auto"/>
              </w:rPr>
              <w:t>N/A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jc w:val="right"/>
              <w:ind w:right="2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13"/>
              <w:spacing w:after="0" w:line="176" w:lineRule="exact"/>
              <w:rPr>
                <w:sz w:val="20"/>
                <w:szCs w:val="20"/>
                <w:color w:val="auto"/>
              </w:rPr>
            </w:pPr>
            <w:r>
              <w:rPr>
                <w:rFonts w:ascii="Arial" w:cs="Arial" w:eastAsia="Arial" w:hAnsi="Arial"/>
                <w:sz w:val="18"/>
                <w:szCs w:val="18"/>
                <w:color w:val="auto"/>
              </w:rPr>
              <w:t>99,256</w:t>
            </w:r>
          </w:p>
        </w:tc>
        <w:tc>
          <w:tcPr>
            <w:tcW w:w="114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13.22%</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5"/>
              <w:spacing w:after="0" w:line="176" w:lineRule="exact"/>
              <w:rPr>
                <w:sz w:val="20"/>
                <w:szCs w:val="20"/>
                <w:color w:val="auto"/>
              </w:rPr>
            </w:pPr>
            <w:r>
              <w:rPr>
                <w:rFonts w:ascii="Arial" w:cs="Arial" w:eastAsia="Arial" w:hAnsi="Arial"/>
                <w:sz w:val="18"/>
                <w:szCs w:val="18"/>
                <w:color w:val="auto"/>
              </w:rPr>
              <w:t>30,028</w:t>
            </w:r>
          </w:p>
        </w:tc>
        <w:tc>
          <w:tcPr>
            <w:tcW w:w="920" w:type="dxa"/>
            <w:vAlign w:val="bottom"/>
            <w:gridSpan w:val="4"/>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&gt;4.0%</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4"/>
              <w:spacing w:after="0" w:line="176" w:lineRule="exact"/>
              <w:rPr>
                <w:sz w:val="20"/>
                <w:szCs w:val="20"/>
                <w:color w:val="auto"/>
              </w:rPr>
            </w:pPr>
            <w:r>
              <w:rPr>
                <w:rFonts w:ascii="Arial" w:cs="Arial" w:eastAsia="Arial" w:hAnsi="Arial"/>
                <w:sz w:val="18"/>
                <w:szCs w:val="18"/>
                <w:color w:val="auto"/>
              </w:rPr>
              <w:t>37,536</w:t>
            </w:r>
          </w:p>
        </w:tc>
        <w:tc>
          <w:tcPr>
            <w:tcW w:w="1000" w:type="dxa"/>
            <w:vAlign w:val="bottom"/>
            <w:gridSpan w:val="6"/>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9: Commitments and Contingencies” for further discussion.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income increased by $187 thousand to $1.6 million for the quarter ended December 31, 2014, compared to $1.4 million for the quarter ended</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December 31, 2013. Net income increased by $1.5 million to $3.2 million for the six months ended December 31, 2014, compared to $1.7 million for the six months ended December 31, 2013. When compared to the prior year, increases in net income for both the three and six months ended December 31, 2014 resulted principally from higher transactional income on purchased loans, positive balance sheet growth due to increased volume, and higher gains on sales of residential mortgages and gains on portfolio loans.</w:t>
      </w:r>
    </w:p>
    <w:p>
      <w:pPr>
        <w:spacing w:after="0" w:line="1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details the “total return” on purchased loans, which includes transactional interest income of $2.6 million for the quarter ended December 31, 2014, an increase of $515 thousand from the quarter ended December 31, 2013. Transactional interest income for the six months ended December 31, 2014 was $4.6 million, an increase of $1.8 million from the six months ended December 31, 2013 principally due to higher payoffs in the first two quarters of fiscal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1"/>
              </w:rPr>
              <w:t>Total Return on Purchased Loans</w:t>
            </w:r>
          </w:p>
        </w:tc>
        <w:tc>
          <w:tcPr>
            <w:tcW w:w="1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gridSpan w:val="6"/>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Three Months Ended December 31,</w:t>
            </w:r>
          </w:p>
        </w:tc>
        <w:tc>
          <w:tcPr>
            <w:tcW w:w="16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1274"/>
              <w:spacing w:after="0" w:line="142" w:lineRule="exact"/>
              <w:rPr>
                <w:sz w:val="20"/>
                <w:szCs w:val="20"/>
                <w:color w:val="auto"/>
              </w:rPr>
            </w:pPr>
            <w:r>
              <w:rPr>
                <w:rFonts w:ascii="Arial" w:cs="Arial" w:eastAsia="Arial" w:hAnsi="Arial"/>
                <w:sz w:val="14"/>
                <w:szCs w:val="14"/>
                <w:b w:val="1"/>
                <w:bCs w:val="1"/>
                <w:color w:val="auto"/>
                <w:w w:val="83"/>
              </w:rPr>
              <w:t>2013</w:t>
            </w:r>
          </w:p>
        </w:tc>
        <w:tc>
          <w:tcPr>
            <w:tcW w:w="26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880"/>
              <w:spacing w:after="0" w:line="142" w:lineRule="exact"/>
              <w:rPr>
                <w:sz w:val="20"/>
                <w:szCs w:val="20"/>
                <w:color w:val="auto"/>
              </w:rPr>
            </w:pPr>
            <w:r>
              <w:rPr>
                <w:rFonts w:ascii="Arial" w:cs="Arial" w:eastAsia="Arial" w:hAnsi="Arial"/>
                <w:sz w:val="14"/>
                <w:szCs w:val="14"/>
                <w:b w:val="1"/>
                <w:bCs w:val="1"/>
                <w:color w:val="auto"/>
              </w:rPr>
              <w:t>Income</w:t>
            </w:r>
          </w:p>
        </w:tc>
        <w:tc>
          <w:tcPr>
            <w:tcW w:w="11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Return (1)</w:t>
            </w: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Income</w:t>
            </w:r>
          </w:p>
        </w:tc>
        <w:tc>
          <w:tcPr>
            <w:tcW w:w="16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Return (1)</w:t>
            </w:r>
          </w:p>
        </w:tc>
        <w:tc>
          <w:tcPr>
            <w:tcW w:w="26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00" w:type="dxa"/>
            <w:vAlign w:val="bottom"/>
            <w:gridSpan w:val="6"/>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02"/>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Regularly scheduled interest and</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4,376</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4,014</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Transactional income: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Accelerated accretion and loan fees</w:t>
            </w:r>
          </w:p>
        </w:tc>
        <w:tc>
          <w:tcPr>
            <w:tcW w:w="28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2,613</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2,098</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r>
      <w:tr>
        <w:trPr>
          <w:trHeight w:val="210"/>
        </w:trPr>
        <w:tc>
          <w:tcPr>
            <w:tcW w:w="33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4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w:t>
            </w:r>
          </w:p>
        </w:tc>
      </w:tr>
      <w:tr>
        <w:trPr>
          <w:trHeight w:val="210"/>
        </w:trPr>
        <w:tc>
          <w:tcPr>
            <w:tcW w:w="3300" w:type="dxa"/>
            <w:vAlign w:val="bottom"/>
          </w:tcPr>
          <w:p>
            <w:pPr>
              <w:ind w:left="5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4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13.72%</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w:t>
            </w:r>
          </w:p>
        </w:tc>
        <w:tc>
          <w:tcPr>
            <w:tcW w:w="20" w:type="dxa"/>
            <w:vAlign w:val="bottom"/>
            <w:tcBorders>
              <w:bottom w:val="single" w:sz="8" w:color="auto"/>
            </w:tcBorders>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13.76%</w:t>
            </w:r>
          </w:p>
        </w:tc>
      </w:tr>
      <w:tr>
        <w:trPr>
          <w:trHeight w:val="20"/>
        </w:trPr>
        <w:tc>
          <w:tcPr>
            <w:tcW w:w="3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11380"/>
          </w:cols>
          <w:pgMar w:left="240" w:top="104" w:right="27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3"/>
              </w:rPr>
              <w:t>Six Months Ended December 31,</w:t>
            </w:r>
          </w:p>
        </w:tc>
        <w:tc>
          <w:tcPr>
            <w:tcW w:w="1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1274"/>
              <w:spacing w:after="0" w:line="142" w:lineRule="exact"/>
              <w:rPr>
                <w:sz w:val="20"/>
                <w:szCs w:val="20"/>
                <w:color w:val="auto"/>
              </w:rPr>
            </w:pPr>
            <w:r>
              <w:rPr>
                <w:rFonts w:ascii="Arial" w:cs="Arial" w:eastAsia="Arial" w:hAnsi="Arial"/>
                <w:sz w:val="14"/>
                <w:szCs w:val="14"/>
                <w:b w:val="1"/>
                <w:bCs w:val="1"/>
                <w:color w:val="auto"/>
                <w:w w:val="83"/>
              </w:rPr>
              <w:t>2013</w:t>
            </w:r>
          </w:p>
        </w:tc>
        <w:tc>
          <w:tcPr>
            <w:tcW w:w="26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880"/>
              <w:spacing w:after="0" w:line="142" w:lineRule="exact"/>
              <w:rPr>
                <w:sz w:val="20"/>
                <w:szCs w:val="20"/>
                <w:color w:val="auto"/>
              </w:rPr>
            </w:pPr>
            <w:r>
              <w:rPr>
                <w:rFonts w:ascii="Arial" w:cs="Arial" w:eastAsia="Arial" w:hAnsi="Arial"/>
                <w:sz w:val="14"/>
                <w:szCs w:val="14"/>
                <w:b w:val="1"/>
                <w:bCs w:val="1"/>
                <w:color w:val="auto"/>
              </w:rPr>
              <w:t>Income</w:t>
            </w:r>
          </w:p>
        </w:tc>
        <w:tc>
          <w:tcPr>
            <w:tcW w:w="11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Return (1)</w:t>
            </w: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Income</w:t>
            </w:r>
          </w:p>
        </w:tc>
        <w:tc>
          <w:tcPr>
            <w:tcW w:w="16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Return (1)</w:t>
            </w:r>
          </w:p>
        </w:tc>
        <w:tc>
          <w:tcPr>
            <w:tcW w:w="26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00" w:type="dxa"/>
            <w:vAlign w:val="bottom"/>
            <w:gridSpan w:val="6"/>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02"/>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Regularly scheduled interest and</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8,873</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7,753</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Transactional income: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Accelerated accretion and loan fees</w:t>
            </w:r>
          </w:p>
        </w:tc>
        <w:tc>
          <w:tcPr>
            <w:tcW w:w="28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4,638</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2,794</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r>
      <w:tr>
        <w:trPr>
          <w:trHeight w:val="210"/>
        </w:trPr>
        <w:tc>
          <w:tcPr>
            <w:tcW w:w="33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4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r>
      <w:tr>
        <w:trPr>
          <w:trHeight w:val="210"/>
        </w:trPr>
        <w:tc>
          <w:tcPr>
            <w:tcW w:w="3300" w:type="dxa"/>
            <w:vAlign w:val="bottom"/>
          </w:tcPr>
          <w:p>
            <w:pPr>
              <w:ind w:left="5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13,741</w:t>
            </w:r>
          </w:p>
        </w:tc>
        <w:tc>
          <w:tcPr>
            <w:tcW w:w="4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13.24%</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10,774</w:t>
            </w:r>
          </w:p>
        </w:tc>
        <w:tc>
          <w:tcPr>
            <w:tcW w:w="20" w:type="dxa"/>
            <w:vAlign w:val="bottom"/>
            <w:tcBorders>
              <w:bottom w:val="single" w:sz="8" w:color="auto"/>
            </w:tcBorders>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12.20%</w:t>
            </w:r>
          </w:p>
        </w:tc>
      </w:tr>
      <w:tr>
        <w:trPr>
          <w:trHeight w:val="20"/>
        </w:trPr>
        <w:tc>
          <w:tcPr>
            <w:tcW w:w="3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60" w:firstLine="8"/>
        <w:spacing w:after="0" w:line="277" w:lineRule="auto"/>
        <w:tabs>
          <w:tab w:leader="none" w:pos="2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2014 and 2013</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interest and dividend income before provision for the three months ended December 31, 2014 and 2013 was $9.4 million and $9.0 million, respectively. The increase of $409 thousand was largely attributable to growth in the LASG loan portfolio, which earned a yield of 10.2% for the quarter ended December 31, 2014 on an average outstanding balance of $314.1 million. The following table summarizes interest income and related yields recognized on the Company’s loans for the three months ended December 31, 2014 and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December 31,</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Average</w:t>
            </w:r>
          </w:p>
        </w:tc>
        <w:tc>
          <w:tcPr>
            <w:tcW w:w="200" w:type="dxa"/>
            <w:vAlign w:val="bottom"/>
          </w:tcPr>
          <w:p>
            <w:pPr>
              <w:spacing w:after="0"/>
              <w:rPr>
                <w:sz w:val="10"/>
                <w:szCs w:val="10"/>
                <w:color w:val="auto"/>
              </w:rPr>
            </w:pPr>
          </w:p>
        </w:tc>
        <w:tc>
          <w:tcPr>
            <w:tcW w:w="118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Interest</w:t>
            </w: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7"/>
              </w:rPr>
              <w:t>Interest</w:t>
            </w:r>
          </w:p>
        </w:tc>
        <w:tc>
          <w:tcPr>
            <w:tcW w:w="13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Yield</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Income</w:t>
            </w: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Income</w:t>
            </w:r>
          </w:p>
        </w:tc>
        <w:tc>
          <w:tcPr>
            <w:tcW w:w="136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Community</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Division</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236,127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247,057</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LASG: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105,167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886</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208,935</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6,989</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175,469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6,112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13.82%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314,102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243,918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Pr>
          <w:p>
            <w:pPr>
              <w:ind w:left="5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550,229</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10,948</w:t>
            </w: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10,282</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the quarter ended December 31, 2014, net interest income was negatively affected by a lower level of noncash accretion of fair value adjustments resulting from the 2010 merger than in the quarter ended December 31, 2013. The effect of such accretion will continue to diminish as financial instruments held at the merger mature or prepay. The following table summarizes the effects of such accretion.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8"/>
              </w:rPr>
              <w:t>Three Months Ended December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34"/>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Income</w:t>
            </w:r>
          </w:p>
        </w:tc>
        <w:tc>
          <w:tcPr>
            <w:tcW w:w="108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Effect on</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Income</w:t>
            </w:r>
          </w:p>
        </w:tc>
        <w:tc>
          <w:tcPr>
            <w:tcW w:w="106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Effect on</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(Expense)</w:t>
            </w: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Yield / Rate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(Expense)</w:t>
            </w: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Yield / Rate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109,498</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116,888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108,924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84,770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571,419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488,562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45,587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0.61%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59,941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8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628,383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559,231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0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33" w:right="199" w:bottom="0" w:gutter="0" w:footer="0" w:header="0"/>
        </w:sectPr>
      </w:pPr>
    </w:p>
    <w:bookmarkStart w:id="28" w:name="page29"/>
    <w:bookmarkEnd w:id="28"/>
    <w:p>
      <w:pPr>
        <w:ind w:right="60"/>
        <w:spacing w:after="0" w:line="259" w:lineRule="auto"/>
        <w:rPr>
          <w:sz w:val="20"/>
          <w:szCs w:val="20"/>
          <w:color w:val="auto"/>
        </w:rPr>
      </w:pPr>
      <w:r>
        <w:rPr>
          <w:rFonts w:ascii="Arial" w:cs="Arial" w:eastAsia="Arial" w:hAnsi="Arial"/>
          <w:sz w:val="18"/>
          <w:szCs w:val="18"/>
          <w:color w:val="auto"/>
        </w:rPr>
        <w:t>The Company’s interest rate spread and net interest margin both decreased by 29 basis points for the quarter ended December 31, 2014 compared to the quarter ended December 31, 2013. These decreases were principally rate driven with a slight decrease in yield on interest-earning assets and a slight increase in yield on interest-earning deposits. The following sets forth the average balance sheets, interest income and interest expense, and average yields and costs for the three months ended December 31, 2014 and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960"/>
        <w:spacing w:after="0" w:line="250" w:lineRule="auto"/>
        <w:rPr>
          <w:sz w:val="20"/>
          <w:szCs w:val="20"/>
          <w:color w:val="auto"/>
        </w:rPr>
      </w:pPr>
      <w:r>
        <w:rPr>
          <w:rFonts w:ascii="Arial" w:cs="Arial" w:eastAsia="Arial" w:hAnsi="Arial"/>
          <w:sz w:val="18"/>
          <w:szCs w:val="18"/>
          <w:b w:val="1"/>
          <w:bCs w:val="1"/>
          <w:color w:val="auto"/>
        </w:rPr>
        <w:t xml:space="preserve">CONSOLIDATED AVERAGE BALANCE SHEETS AND ANNUALIZED YIELDS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 December 31,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34"/>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Interest</w:t>
            </w: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Interest</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Income/</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Yield/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Income/</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Expense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Expense</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109,498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116,888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Loans (2) (3)</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550,229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10,948</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10,282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104,822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79,049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803,788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731,908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62,259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0.25%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58,987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127,394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33,648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33,540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348,118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571,419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488,562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45,587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59,941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628,383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2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559,231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9"/>
              </w:rPr>
              <w:t>Demand deposits and escrow accounts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7,130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113,144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113,816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803,788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9,426</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9,017</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Net interest margin (5)</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19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5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December 31, 2014 compared to 2013</w:t>
            </w:r>
          </w:p>
        </w:tc>
        <w:tc>
          <w:tcPr>
            <w:tcW w:w="1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9"/>
              </w:rPr>
              <w:t>Change Due to Volume</w:t>
            </w:r>
          </w:p>
        </w:tc>
        <w:tc>
          <w:tcPr>
            <w:tcW w:w="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w w:val="96"/>
              </w:rPr>
              <w:t>Change Due to Rate</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94"/>
              </w:rPr>
              <w:t>Total Change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1,197</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(531)</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240" w:type="dxa"/>
            <w:vAlign w:val="bottom"/>
          </w:tcPr>
          <w:p>
            <w:pPr>
              <w:spacing w:after="0"/>
              <w:rPr>
                <w:sz w:val="18"/>
                <w:szCs w:val="18"/>
                <w:color w:val="auto"/>
              </w:rPr>
            </w:pP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Total interest-earning assets</w:t>
            </w:r>
          </w:p>
        </w:tc>
        <w:tc>
          <w:tcPr>
            <w:tcW w:w="2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(567)</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9" w:name="page30"/>
    <w:bookmarkEnd w:id="29"/>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Junior subordinated debentures</w:t>
            </w:r>
          </w:p>
        </w:tc>
        <w:tc>
          <w:tcPr>
            <w:tcW w:w="76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180" w:type="dxa"/>
            <w:vAlign w:val="bottom"/>
          </w:tcPr>
          <w:p>
            <w:pPr>
              <w:spacing w:after="0"/>
              <w:rPr>
                <w:sz w:val="20"/>
                <w:szCs w:val="20"/>
                <w:color w:val="auto"/>
              </w:rPr>
            </w:pPr>
          </w:p>
        </w:tc>
      </w:tr>
      <w:tr>
        <w:trPr>
          <w:trHeight w:val="210"/>
        </w:trPr>
        <w:tc>
          <w:tcPr>
            <w:tcW w:w="4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interest-bearing liabilities</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Total change in net interest income</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99"/>
        </w:trPr>
        <w:tc>
          <w:tcPr>
            <w:tcW w:w="4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2"/>
        </w:trPr>
        <w:tc>
          <w:tcPr>
            <w:tcW w:w="42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2014 and 2013</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interest and dividend income before provision for the six months ended December 31, 2014 and 2013 was $18.9 million and $16.1 million, respectively. The increase of $2.8 million was largely attributable to growth in the LASG loan portfolio, which earned a yield of 10.5% for the six ended December 31, 2014 on an average outstanding balance of $299.6 million. The following table summarizes interest income and related yields recognized on the Company’s loans for the six months ended December 31, 2014 and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2"/>
              </w:rPr>
              <w:t>Six Months Ended December 31,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37"/>
              <w:spacing w:after="0" w:line="142"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Interest</w:t>
            </w:r>
          </w:p>
        </w:tc>
        <w:tc>
          <w:tcPr>
            <w:tcW w:w="13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0"/>
                <w:szCs w:val="10"/>
                <w:color w:val="auto"/>
              </w:rPr>
            </w:pPr>
          </w:p>
        </w:tc>
        <w:tc>
          <w:tcPr>
            <w:tcW w:w="11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Average</w:t>
            </w:r>
          </w:p>
        </w:tc>
        <w:tc>
          <w:tcPr>
            <w:tcW w:w="220" w:type="dxa"/>
            <w:vAlign w:val="bottom"/>
          </w:tcPr>
          <w:p>
            <w:pPr>
              <w:spacing w:after="0"/>
              <w:rPr>
                <w:sz w:val="10"/>
                <w:szCs w:val="10"/>
                <w:color w:val="auto"/>
              </w:rPr>
            </w:pPr>
          </w:p>
        </w:tc>
        <w:tc>
          <w:tcPr>
            <w:tcW w:w="9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Interest</w:t>
            </w:r>
          </w:p>
        </w:tc>
        <w:tc>
          <w:tcPr>
            <w:tcW w:w="16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Income</w:t>
            </w: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Income</w:t>
            </w: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238,646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5,960</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LASG: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93,751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2,399</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57,828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34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205,896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13,511</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13.02%</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174,318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10,547</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0"/>
        </w:trPr>
        <w:tc>
          <w:tcPr>
            <w:tcW w:w="2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299,647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15,910</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232,146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12,113</w:t>
            </w:r>
          </w:p>
        </w:tc>
        <w:tc>
          <w:tcPr>
            <w:tcW w:w="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0"/>
        </w:trPr>
        <w:tc>
          <w:tcPr>
            <w:tcW w:w="2340" w:type="dxa"/>
            <w:vAlign w:val="bottom"/>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21,870</w:t>
            </w:r>
          </w:p>
        </w:tc>
        <w:tc>
          <w:tcPr>
            <w:tcW w:w="2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8.06%</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477,026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18,739</w:t>
            </w:r>
          </w:p>
        </w:tc>
        <w:tc>
          <w:tcPr>
            <w:tcW w:w="20" w:type="dxa"/>
            <w:vAlign w:val="bottom"/>
            <w:tcBorders>
              <w:bottom w:val="single" w:sz="8" w:color="auto"/>
            </w:tcBorders>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the six months ended December 31, 2014, net interest income was negatively affected by a lower level of noncash accretion of fair value adjustments resulting from the 2010 merger than in the six months ended December 31, 2013. The effect of such accretion will continue to diminish as financial instruments held at the merger mature or prepay. The following table summarizes the effects of such accretion.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Six Months Ended December 31,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Income</w:t>
            </w:r>
          </w:p>
        </w:tc>
        <w:tc>
          <w:tcPr>
            <w:tcW w:w="106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Effect on</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0"/>
                <w:szCs w:val="10"/>
                <w:color w:val="auto"/>
              </w:rPr>
            </w:pPr>
          </w:p>
        </w:tc>
        <w:tc>
          <w:tcPr>
            <w:tcW w:w="10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Income</w:t>
            </w:r>
          </w:p>
        </w:tc>
        <w:tc>
          <w:tcPr>
            <w:tcW w:w="100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Effect on</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(Expense)</w:t>
            </w: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Yield / Rate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(Expense)</w:t>
            </w: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Yield / Rate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6"/>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110,874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118,093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97,894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83,949</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475,845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415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49,283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59,964</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608,887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546,455</w:t>
            </w:r>
          </w:p>
        </w:tc>
        <w:tc>
          <w:tcPr>
            <w:tcW w:w="2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interest rate spread and net interest margin increased by 32 basis points and 31 basis points, respectively, for the six months ended</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December 31, 2014 compared to the six months ended December 31, 2013. These increases were principally the result of the aforementioned increase in loan volume and average yield. The following sets forth the average balance sheets, interest income and interest expense, and average yields and costs for the six months ended December 31, 2014 and 2013.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9"/>
              </w:rPr>
              <w:t>Six Months Ended December 31,</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59"/>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Interest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0"/>
                <w:szCs w:val="10"/>
                <w:color w:val="auto"/>
              </w:rPr>
            </w:pPr>
          </w:p>
        </w:tc>
        <w:tc>
          <w:tcPr>
            <w:tcW w:w="10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Interest</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Income/</w:t>
            </w: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Yield/</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Income/</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Rate</w:t>
            </w: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Expense</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5"/>
          </w:tcPr>
          <w:p>
            <w:pPr>
              <w:jc w:val="right"/>
              <w:ind w:right="6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Interest-earning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110,874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475</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Loans (1) (2)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538,293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21,870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477,026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18,739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Regulatory stock</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Short-term investments (3)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93,792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78,228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22,491</w:t>
            </w: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679,068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60"/>
          </w:cols>
          <w:pgMar w:left="240" w:top="125" w:right="19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783,061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717,230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62,934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81</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0.26%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59,055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0.68%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85,967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0.13%</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33,733</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344,243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1,941</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3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0.87%</w:t>
            </w: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475,845</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49,283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771</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59,964</w:t>
            </w:r>
          </w:p>
        </w:tc>
        <w:tc>
          <w:tcPr>
            <w:tcW w:w="3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886</w:t>
            </w: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608,887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3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color w:val="auto"/>
              </w:rPr>
              <w:t>1.17%</w:t>
            </w: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546,455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4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6"/>
              </w:rPr>
              <w:t>Demand deposits and escrow accounts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51,788</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670,294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603,862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112,767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113,368</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Total liabilities and stockholders’ equity</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18,900</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16,122</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4.80%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interest margin (4)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December 31, 2014 compared to 2013</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6"/>
              </w:rPr>
              <w:t>Change Due to Volume</w:t>
            </w: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w w:val="93"/>
              </w:rPr>
              <w:t>Change Due to Rate</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2"/>
              </w:rPr>
              <w:t>Total Change</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18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Total interest-earning assets</w:t>
            </w: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3,061</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18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Total change in net interest income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acquired with deteriorated credit quality, a provision for loan a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Formation LLC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2014 and 2013</w:t>
      </w:r>
    </w:p>
    <w:p>
      <w:pPr>
        <w:sectPr>
          <w:pgSz w:w="11900" w:h="16838" w:orient="portrait"/>
          <w:cols w:equalWidth="0" w:num="1">
            <w:col w:w="11460"/>
          </w:cols>
          <w:pgMar w:left="240" w:top="125" w:right="199" w:bottom="0" w:gutter="0" w:footer="0" w:header="0"/>
        </w:sectPr>
      </w:pPr>
    </w:p>
    <w:bookmarkStart w:id="31" w:name="page32"/>
    <w:bookmarkEnd w:id="31"/>
    <w:p>
      <w:pPr>
        <w:ind w:right="220"/>
        <w:spacing w:after="0" w:line="308" w:lineRule="auto"/>
        <w:rPr>
          <w:sz w:val="20"/>
          <w:szCs w:val="20"/>
          <w:color w:val="auto"/>
        </w:rPr>
      </w:pPr>
      <w:r>
        <w:rPr>
          <w:rFonts w:ascii="Arial" w:cs="Arial" w:eastAsia="Arial" w:hAnsi="Arial"/>
          <w:sz w:val="17"/>
          <w:szCs w:val="17"/>
          <w:color w:val="auto"/>
        </w:rPr>
        <w:t>The provision for loan losses for the quarter ended December 31, 2014 and 2013 was $113 thousand and $151 thousand, respectively. The decrease in the Company’s loan loss provision resulted principally from favorable impairment trends in the purchased and originated loan portfolios.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2014 and 2013</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provision for loan losses for the six months ended December 31, 2014 and 2013 was $433 thousand and $227 thousand, respectively. The increase is principally due to increases in reserves necessary for loans accounted for under ASC 310-30 and due to increased volume of newly originated loans.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Noninterest income decreased by $535 thousand for the current quarter, compared to the quarter ended December 31, 2013, principally due to the following:</w:t>
      </w:r>
    </w:p>
    <w:p>
      <w:pPr>
        <w:spacing w:after="0" w:line="248" w:lineRule="exact"/>
        <w:rPr>
          <w:sz w:val="20"/>
          <w:szCs w:val="20"/>
          <w:color w:val="auto"/>
        </w:rPr>
      </w:pPr>
    </w:p>
    <w:p>
      <w:pPr>
        <w:jc w:val="both"/>
        <w:ind w:left="1300" w:hanging="320"/>
        <w:spacing w:after="0" w:line="256"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$432 thousand in gain on sales of portfolio loans, realized primarily on the sale of the guaranteed portion of SBA loans. The Company recognized $445 thousand in gains on SBA loans sold for the three months ended December 31, 2014, compared to no SBA gain for the quarter ended December 31, 2013; and</w:t>
      </w:r>
    </w:p>
    <w:p>
      <w:pPr>
        <w:ind w:left="1300" w:right="40" w:hanging="320"/>
        <w:spacing w:after="0" w:line="261"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$106 thousand in gains realized on sale of residential loans originated for sale in the secondary market, due principally to an increase in purchase-related mortgage loan activity in the current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2014 and 2013</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Noninterest income increased by $400 thousand for the six months ended December 31, 2014, compared to the six months ended December 31, 2013, principally due to the following:</w:t>
      </w:r>
    </w:p>
    <w:p>
      <w:pPr>
        <w:spacing w:after="0" w:line="170" w:lineRule="exact"/>
        <w:rPr>
          <w:sz w:val="20"/>
          <w:szCs w:val="20"/>
          <w:color w:val="auto"/>
        </w:rPr>
      </w:pPr>
    </w:p>
    <w:p>
      <w:pPr>
        <w:ind w:left="1300" w:right="20" w:hanging="314"/>
        <w:spacing w:after="0" w:line="256"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$295 thousand in gain on sales of portfolio loans, realized primarily on the sale of the guaranteed portion of SBA loans. The Company recognized $529 thousand in gains on SBA loans sold for the six months ended December 31, 2014, compared to no SBA gain for the quarter ended December 31, 2013; and</w:t>
      </w:r>
    </w:p>
    <w:p>
      <w:pPr>
        <w:ind w:left="1300" w:right="20" w:hanging="314"/>
        <w:spacing w:after="0" w:line="261"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$149 thousand in gains realized on sale of residential loans originated for sale in the secondary market, due principally to an increase in purchase-related mortgage loan activity in the current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2014 and 2013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Noninterest expense increased by $596 thousand for the current quarter, compared to the quarter ended December 31, 2013, principally due to the following:</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820" w:hanging="320"/>
        <w:spacing w:after="0" w:line="274"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increase of $484 thousand in salaries and employee benefits, principally due to increased employee head count and incentive compensation, offset by a decrease in group insurance expense and employee stock options expense;</w:t>
      </w: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$177 thousand in professional fees, due primarily to fees for temporary consulting services;</w:t>
      </w:r>
    </w:p>
    <w:p>
      <w:pPr>
        <w:spacing w:after="0" w:line="9" w:lineRule="exact"/>
        <w:rPr>
          <w:rFonts w:ascii="Arial" w:cs="Arial" w:eastAsia="Arial" w:hAnsi="Arial"/>
          <w:sz w:val="18"/>
          <w:szCs w:val="18"/>
          <w:color w:val="auto"/>
        </w:rPr>
      </w:pPr>
    </w:p>
    <w:p>
      <w:pPr>
        <w:ind w:left="1300" w:right="100" w:hanging="320"/>
        <w:spacing w:after="0" w:line="250"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$123 thousand in loan acquisition and collection expenses, due in part to an increased level of loan purchases in the quarter ended December 31, 2014 when compared to the quarter ended December 31, 2013; and</w:t>
      </w:r>
    </w:p>
    <w:p>
      <w:pPr>
        <w:ind w:left="1300" w:right="260" w:hanging="320"/>
        <w:spacing w:after="0" w:line="255"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$130 thousand in occupancy and equipment expense, the result of a reduction in software maintenance and depreciation expense following the conversion of the Bank’s core systems platform to an outsourced model in May 2014. The decrease in equipment expense was offset in part by higher data processing fees, which increased by $70 thousand.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2014 and 2013</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Noninterest expense increased by $483 thousand for the six months ended December 31, 2014, compared to the six months ended December 31, 2013, principally due to the following:</w:t>
      </w:r>
    </w:p>
    <w:p>
      <w:pPr>
        <w:spacing w:after="0" w:line="170" w:lineRule="exact"/>
        <w:rPr>
          <w:sz w:val="20"/>
          <w:szCs w:val="20"/>
          <w:color w:val="auto"/>
        </w:rPr>
      </w:pPr>
    </w:p>
    <w:p>
      <w:pPr>
        <w:ind w:left="1300" w:right="400" w:hanging="320"/>
        <w:spacing w:after="0" w:line="258"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$405 thousand in salaries and employee benefits, principally due to an increase in average headcount, as well as higher employee benefits and stock-based compensation;</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$109 thousand in professional fees, principally due to increased temporary consulting fees;</w:t>
      </w:r>
    </w:p>
    <w:p>
      <w:pPr>
        <w:spacing w:after="0" w:line="9" w:lineRule="exact"/>
        <w:rPr>
          <w:rFonts w:ascii="Arial" w:cs="Arial" w:eastAsia="Arial" w:hAnsi="Arial"/>
          <w:sz w:val="18"/>
          <w:szCs w:val="18"/>
          <w:color w:val="auto"/>
        </w:rPr>
      </w:pPr>
    </w:p>
    <w:p>
      <w:pPr>
        <w:ind w:left="1300" w:right="720" w:hanging="320"/>
        <w:spacing w:after="0" w:line="250"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$138 thousand in data processing fees, primarily due to increased expense associated with the Bank’s core systems conversion in May 2014;</w:t>
      </w:r>
    </w:p>
    <w:p>
      <w:pPr>
        <w:ind w:left="1260" w:hanging="280"/>
        <w:spacing w:after="0"/>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of $250 thousand in legal settlement expense resulting from an insurance recovery in the quarter ended September 30, 2013.</w:t>
      </w:r>
    </w:p>
    <w:p>
      <w:pPr>
        <w:spacing w:after="0" w:line="32" w:lineRule="exact"/>
        <w:rPr>
          <w:rFonts w:ascii="Arial" w:cs="Arial" w:eastAsia="Arial" w:hAnsi="Arial"/>
          <w:sz w:val="16"/>
          <w:szCs w:val="16"/>
          <w:color w:val="auto"/>
        </w:rPr>
      </w:pPr>
    </w:p>
    <w:p>
      <w:pPr>
        <w:ind w:left="1300" w:right="100" w:hanging="320"/>
        <w:spacing w:after="0" w:line="250"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$217 thousand in occupancy and equipment expense, primarily due to a reduction in software maintenance and depreciation expense due to the Bank’s core conversion in May 2014. This decrease was offset in part by a $179 thousand increase in data processing fees.</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decrease of $89 thousand in intangible asset amortization. The Company’s core deposit intangible amortizes on an accelerated basis.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2014 and 2013</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effective tax rate for the quarter ended December 31, 2014 was 36.1%, compared to 32.4% for the quarter ended December 31, 2013. The increase in the quarter was primarily the result of a change in estimated state tax apportionment.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2014 and 2013</w:t>
      </w:r>
    </w:p>
    <w:p>
      <w:pPr>
        <w:sectPr>
          <w:pgSz w:w="11900" w:h="16838" w:orient="portrait"/>
          <w:cols w:equalWidth="0" w:num="1">
            <w:col w:w="11340"/>
          </w:cols>
          <w:pgMar w:left="240" w:top="125" w:right="319" w:bottom="0" w:gutter="0" w:footer="0" w:header="0"/>
        </w:sectPr>
      </w:pPr>
    </w:p>
    <w:bookmarkStart w:id="32" w:name="page33"/>
    <w:bookmarkEnd w:id="32"/>
    <w:p>
      <w:pPr>
        <w:ind w:right="200"/>
        <w:spacing w:after="0" w:line="264" w:lineRule="auto"/>
        <w:rPr>
          <w:sz w:val="20"/>
          <w:szCs w:val="20"/>
          <w:color w:val="auto"/>
        </w:rPr>
      </w:pPr>
      <w:r>
        <w:rPr>
          <w:rFonts w:ascii="Arial" w:cs="Arial" w:eastAsia="Arial" w:hAnsi="Arial"/>
          <w:sz w:val="18"/>
          <w:szCs w:val="18"/>
          <w:color w:val="auto"/>
        </w:rPr>
        <w:t>The Company’s income tax expense was $1.8 million or an effective rate of 36.1%, for the six months ended December 31, 2014, as compared to $832 thousand, or an effective rate of 32.6%, for the six months ended December 30, 2013. The increased effective rate in six months ended December 31, 2014 principally resulted from a change in estimated state tax apportionment.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 Discontinued Operations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concluded all investment brokerage activities in the second quarter of fiscal 2014. Accordingly, operations associated with these activities have been classified as discontinued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reported a net loss from discontinued operations of $18 thousand in the quarter ended 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reported a net loss from discontinued operations of $8 thousand for the six months ended 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net loss in both the quarter and six months ended December 31, 2013 was due to the discontinuance of brokerage activities in November 2013.</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December 31, 2014.</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December 31, 2014 that have materially affected, or is reasonably likely to materially affect, the Company’s internal controls over financial reporting.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780"/>
        <w:spacing w:after="0" w:line="273" w:lineRule="auto"/>
        <w:rPr>
          <w:sz w:val="20"/>
          <w:szCs w:val="20"/>
          <w:color w:val="auto"/>
        </w:rPr>
      </w:pPr>
      <w:r>
        <w:rPr>
          <w:rFonts w:ascii="Arial" w:cs="Arial" w:eastAsia="Arial" w:hAnsi="Arial"/>
          <w:sz w:val="17"/>
          <w:szCs w:val="17"/>
          <w:color w:val="auto"/>
        </w:rPr>
        <w:t>On April 23, 2014, the Company announced that its Board of Directors authorized the Company to purchase up to 870,000 shares of its common stock, representing 8.3% of the Company’s outstanding common shares and approximately $8.4 million based on the Company’s closing stock price on April 22, 2014. Such purchases will be made in open market or in privately negotiated transactions from time to time and in such amounts as market conditions warrant. The timing and actual number of shares repurchased will depend on a variety of factors including price, corporate and regulatory requirements, market conditions, and other corporate liquidity requirements and priorities. The stock repurchase program may be suspended or terminated at any time without prior notice, and will expire on April 23, 2016.</w:t>
      </w:r>
    </w:p>
    <w:p>
      <w:pPr>
        <w:spacing w:after="0" w:line="178"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The following table sets forth information with respect to purchases made by us of our common stock during the three months ended December 31, 2014.</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6"/>
              </w:rPr>
              <w:t>Average Price Per</w:t>
            </w: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Announced</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680" w:type="dxa"/>
            <w:vAlign w:val="bottom"/>
          </w:tcPr>
          <w:p>
            <w:pPr>
              <w:jc w:val="right"/>
              <w:ind w:right="115"/>
              <w:spacing w:after="0"/>
              <w:rPr>
                <w:sz w:val="20"/>
                <w:szCs w:val="20"/>
                <w:color w:val="auto"/>
              </w:rPr>
            </w:pPr>
            <w:r>
              <w:rPr>
                <w:rFonts w:ascii="Arial" w:cs="Arial" w:eastAsia="Arial" w:hAnsi="Arial"/>
                <w:sz w:val="14"/>
                <w:szCs w:val="14"/>
                <w:b w:val="1"/>
                <w:bCs w:val="1"/>
                <w:color w:val="auto"/>
              </w:rPr>
              <w:t>Shares Purchased (1)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share</w:t>
            </w: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Programs</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 1 –Jul. 31</w:t>
            </w:r>
          </w:p>
        </w:tc>
        <w:tc>
          <w:tcPr>
            <w:tcW w:w="2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2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Aug. 1 – Aug. 31</w:t>
            </w:r>
          </w:p>
        </w:tc>
        <w:tc>
          <w:tcPr>
            <w:tcW w:w="1680" w:type="dxa"/>
            <w:vAlign w:val="bottom"/>
          </w:tcPr>
          <w:p>
            <w:pPr>
              <w:jc w:val="right"/>
              <w:spacing w:after="0"/>
              <w:rPr>
                <w:sz w:val="20"/>
                <w:szCs w:val="20"/>
                <w:color w:val="auto"/>
              </w:rPr>
            </w:pPr>
            <w:r>
              <w:rPr>
                <w:rFonts w:ascii="Arial" w:cs="Arial" w:eastAsia="Arial" w:hAnsi="Arial"/>
                <w:sz w:val="18"/>
                <w:szCs w:val="18"/>
                <w:color w:val="auto"/>
              </w:rPr>
              <w:t>12,300</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9.34</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305,600</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564,400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 1 – Sep. 30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305,600</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Oct. 1 – Oct. 21</w:t>
            </w:r>
          </w:p>
        </w:tc>
        <w:tc>
          <w:tcPr>
            <w:tcW w:w="1680" w:type="dxa"/>
            <w:vAlign w:val="bottom"/>
          </w:tcPr>
          <w:p>
            <w:pPr>
              <w:jc w:val="right"/>
              <w:spacing w:after="0"/>
              <w:rPr>
                <w:sz w:val="20"/>
                <w:szCs w:val="20"/>
                <w:color w:val="auto"/>
              </w:rPr>
            </w:pPr>
            <w:r>
              <w:rPr>
                <w:rFonts w:ascii="Arial" w:cs="Arial" w:eastAsia="Arial" w:hAnsi="Arial"/>
                <w:sz w:val="18"/>
                <w:szCs w:val="18"/>
                <w:color w:val="auto"/>
              </w:rPr>
              <w:t>1,800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9.03</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307,400</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562,600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 1 – Nov. 30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344,300</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33" w:name="page34"/>
    <w:bookmarkEnd w:id="33"/>
    <w:p>
      <w:pPr>
        <w:spacing w:after="0" w:line="3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Dec. 1 - Dec. 31</w:t>
            </w:r>
          </w:p>
        </w:tc>
        <w:tc>
          <w:tcPr>
            <w:tcW w:w="2600" w:type="dxa"/>
            <w:vAlign w:val="bottom"/>
          </w:tcPr>
          <w:p>
            <w:pPr>
              <w:jc w:val="right"/>
              <w:ind w:right="690"/>
              <w:spacing w:after="0"/>
              <w:rPr>
                <w:sz w:val="20"/>
                <w:szCs w:val="20"/>
                <w:color w:val="auto"/>
              </w:rPr>
            </w:pPr>
            <w:r>
              <w:rPr>
                <w:rFonts w:ascii="Arial" w:cs="Arial" w:eastAsia="Arial" w:hAnsi="Arial"/>
                <w:sz w:val="18"/>
                <w:szCs w:val="18"/>
                <w:color w:val="auto"/>
              </w:rPr>
              <w:t>395,586</w:t>
            </w: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9.14</w:t>
            </w:r>
          </w:p>
        </w:tc>
        <w:tc>
          <w:tcPr>
            <w:tcW w:w="1860" w:type="dxa"/>
            <w:vAlign w:val="bottom"/>
          </w:tcPr>
          <w:p>
            <w:pPr>
              <w:jc w:val="right"/>
              <w:ind w:right="550"/>
              <w:spacing w:after="0"/>
              <w:rPr>
                <w:sz w:val="20"/>
                <w:szCs w:val="20"/>
                <w:color w:val="auto"/>
              </w:rPr>
            </w:pPr>
            <w:r>
              <w:rPr>
                <w:rFonts w:ascii="Arial" w:cs="Arial" w:eastAsia="Arial" w:hAnsi="Arial"/>
                <w:sz w:val="18"/>
                <w:szCs w:val="18"/>
                <w:color w:val="auto"/>
              </w:rPr>
              <w:t>739,886</w:t>
            </w:r>
          </w:p>
        </w:tc>
        <w:tc>
          <w:tcPr>
            <w:tcW w:w="1240" w:type="dxa"/>
            <w:vAlign w:val="bottom"/>
          </w:tcPr>
          <w:p>
            <w:pPr>
              <w:jc w:val="right"/>
              <w:spacing w:after="0"/>
              <w:rPr>
                <w:sz w:val="20"/>
                <w:szCs w:val="20"/>
                <w:color w:val="auto"/>
              </w:rPr>
            </w:pPr>
            <w:r>
              <w:rPr>
                <w:rFonts w:ascii="Arial" w:cs="Arial" w:eastAsia="Arial" w:hAnsi="Arial"/>
                <w:sz w:val="18"/>
                <w:szCs w:val="18"/>
                <w:color w:val="auto"/>
              </w:rPr>
              <w:t>130,114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hanging="527"/>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trade date, not settlement date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60"/>
        <w:spacing w:after="0"/>
        <w:tabs>
          <w:tab w:leader="none" w:pos="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80" w:type="dxa"/>
            <w:vAlign w:val="bottom"/>
            <w:gridSpan w:val="2"/>
          </w:tcPr>
          <w:p>
            <w:pPr>
              <w:jc w:val="right"/>
              <w:ind w:right="5419"/>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5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20" w:type="dxa"/>
            <w:vAlign w:val="bottom"/>
            <w:gridSpan w:val="3"/>
          </w:tcPr>
          <w:p>
            <w:pPr>
              <w:spacing w:after="0"/>
              <w:rPr>
                <w:rFonts w:ascii="Arial" w:cs="Arial" w:eastAsia="Arial" w:hAnsi="Arial"/>
                <w:sz w:val="18"/>
                <w:szCs w:val="18"/>
                <w:color w:val="0000EE"/>
                <w:w w:val="98"/>
              </w:rPr>
            </w:pPr>
            <w:hyperlink w:anchor="page1">
              <w:r>
                <w:rPr>
                  <w:rFonts w:ascii="Arial" w:cs="Arial" w:eastAsia="Arial" w:hAnsi="Arial"/>
                  <w:sz w:val="18"/>
                  <w:szCs w:val="18"/>
                  <w:color w:val="0000EE"/>
                  <w:w w:val="98"/>
                </w:rPr>
                <w:t>Table of Contents</w:t>
              </w:r>
            </w:hyperlink>
          </w:p>
        </w:tc>
        <w:tc>
          <w:tcPr>
            <w:tcW w:w="3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3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20" w:type="dxa"/>
            <w:vAlign w:val="bottom"/>
            <w:gridSpan w:val="3"/>
          </w:tcPr>
          <w:p>
            <w:pPr>
              <w:ind w:left="660"/>
              <w:spacing w:after="0"/>
              <w:rPr>
                <w:sz w:val="20"/>
                <w:szCs w:val="20"/>
                <w:color w:val="auto"/>
              </w:rPr>
            </w:pPr>
            <w:r>
              <w:rPr>
                <w:rFonts w:ascii="Arial" w:cs="Arial" w:eastAsia="Arial" w:hAnsi="Arial"/>
                <w:sz w:val="14"/>
                <w:szCs w:val="14"/>
                <w:b w:val="1"/>
                <w:bCs w:val="1"/>
                <w:color w:val="auto"/>
              </w:rPr>
              <w:t>Exhibits</w:t>
            </w:r>
          </w:p>
        </w:tc>
        <w:tc>
          <w:tcPr>
            <w:tcW w:w="380" w:type="dxa"/>
            <w:vAlign w:val="bottom"/>
          </w:tcPr>
          <w:p>
            <w:pPr>
              <w:spacing w:after="0"/>
              <w:rPr>
                <w:sz w:val="24"/>
                <w:szCs w:val="24"/>
                <w:color w:val="auto"/>
              </w:rPr>
            </w:pPr>
          </w:p>
        </w:tc>
        <w:tc>
          <w:tcPr>
            <w:tcW w:w="9660" w:type="dxa"/>
            <w:vAlign w:val="bottom"/>
            <w:gridSpan w:val="2"/>
            <w:vMerge w:val="restart"/>
          </w:tcPr>
          <w:p>
            <w:pPr>
              <w:ind w:left="4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20" w:type="dxa"/>
            <w:vAlign w:val="bottom"/>
            <w:gridSpan w:val="3"/>
          </w:tcPr>
          <w:p>
            <w:pPr>
              <w:ind w:left="660"/>
              <w:spacing w:after="0"/>
              <w:rPr>
                <w:sz w:val="20"/>
                <w:szCs w:val="20"/>
                <w:color w:val="auto"/>
              </w:rPr>
            </w:pPr>
            <w:r>
              <w:rPr>
                <w:rFonts w:ascii="Arial" w:cs="Arial" w:eastAsia="Arial" w:hAnsi="Arial"/>
                <w:sz w:val="14"/>
                <w:szCs w:val="14"/>
                <w:b w:val="1"/>
                <w:bCs w:val="1"/>
                <w:color w:val="auto"/>
              </w:rPr>
              <w:t>No.</w:t>
            </w:r>
          </w:p>
        </w:tc>
        <w:tc>
          <w:tcPr>
            <w:tcW w:w="380" w:type="dxa"/>
            <w:vAlign w:val="bottom"/>
          </w:tcPr>
          <w:p>
            <w:pPr>
              <w:spacing w:after="0"/>
              <w:rPr>
                <w:sz w:val="14"/>
                <w:szCs w:val="14"/>
                <w:color w:val="auto"/>
              </w:rPr>
            </w:pPr>
          </w:p>
        </w:tc>
        <w:tc>
          <w:tcPr>
            <w:tcW w:w="9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31.1</w:t>
            </w:r>
          </w:p>
        </w:tc>
        <w:tc>
          <w:tcPr>
            <w:tcW w:w="1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Certification of the Chief Executive Officer pursuant to Section 302 of the Sarbanes-Oxley Act of 2002 (Rule 13a-14(a)). *</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10040" w:type="dxa"/>
            <w:vAlign w:val="bottom"/>
            <w:gridSpan w:val="3"/>
          </w:tcPr>
          <w:p>
            <w:pPr>
              <w:ind w:left="38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0040" w:type="dxa"/>
            <w:vAlign w:val="bottom"/>
            <w:gridSpan w:val="3"/>
          </w:tcPr>
          <w:p>
            <w:pPr>
              <w:ind w:left="380"/>
              <w:spacing w:after="0"/>
              <w:rPr>
                <w:sz w:val="20"/>
                <w:szCs w:val="20"/>
                <w:color w:val="auto"/>
              </w:rPr>
            </w:pPr>
            <w:r>
              <w:rPr>
                <w:rFonts w:ascii="Arial" w:cs="Arial" w:eastAsia="Arial" w:hAnsi="Arial"/>
                <w:sz w:val="18"/>
                <w:szCs w:val="18"/>
                <w:color w:val="auto"/>
                <w:w w:val="92"/>
              </w:rPr>
              <w:t>Certificate of the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3"/>
          </w:tcPr>
          <w:p>
            <w:pPr>
              <w:ind w:left="380"/>
              <w:spacing w:after="0"/>
              <w:rPr>
                <w:sz w:val="20"/>
                <w:szCs w:val="20"/>
                <w:color w:val="auto"/>
              </w:rPr>
            </w:pPr>
            <w:r>
              <w:rPr>
                <w:rFonts w:ascii="Arial" w:cs="Arial" w:eastAsia="Arial" w:hAnsi="Arial"/>
                <w:sz w:val="18"/>
                <w:szCs w:val="18"/>
                <w:color w:val="auto"/>
              </w:rPr>
              <w:t>Oxley Act of 2002 (Rule 13a-14(b)). **</w:t>
            </w: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10040" w:type="dxa"/>
            <w:vAlign w:val="bottom"/>
            <w:gridSpan w:val="3"/>
          </w:tcPr>
          <w:p>
            <w:pPr>
              <w:ind w:left="380"/>
              <w:spacing w:after="0"/>
              <w:rPr>
                <w:sz w:val="20"/>
                <w:szCs w:val="20"/>
                <w:color w:val="auto"/>
              </w:rPr>
            </w:pPr>
            <w:r>
              <w:rPr>
                <w:rFonts w:ascii="Arial" w:cs="Arial" w:eastAsia="Arial" w:hAnsi="Arial"/>
                <w:sz w:val="18"/>
                <w:szCs w:val="18"/>
                <w:color w:val="auto"/>
                <w:w w:val="93"/>
              </w:rPr>
              <w:t>Certificate of the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gridSpan w:val="3"/>
          </w:tcPr>
          <w:p>
            <w:pPr>
              <w:ind w:left="380"/>
              <w:spacing w:after="0"/>
              <w:rPr>
                <w:sz w:val="20"/>
                <w:szCs w:val="20"/>
                <w:color w:val="auto"/>
              </w:rPr>
            </w:pPr>
            <w:r>
              <w:rPr>
                <w:rFonts w:ascii="Arial" w:cs="Arial" w:eastAsia="Arial" w:hAnsi="Arial"/>
                <w:sz w:val="18"/>
                <w:szCs w:val="18"/>
                <w:color w:val="auto"/>
              </w:rPr>
              <w:t>Oxley Act of 2002 (Rule 13a-14(b)).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-1819275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-1819275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800" w:right="200" w:hanging="894"/>
        <w:spacing w:after="0" w:line="270" w:lineRule="auto"/>
        <w:tabs>
          <w:tab w:leader="none" w:pos="18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following materials from Northeast Bancorp’s Quarterly Report on Form 10-Q for the quarter ended December 31, 2014 formatted in XBRL: (i) Consolidated Balance Sheets at December 31, 2014 and June 30, 2014; (ii) Consolidated Statements of Income for the three and six months ended December 31, 2014 and 2013; (iii) Consolidated Statements of Comprehensive Income for the three and six months ended December 30, 2014 and 2013; (iv) Consolidated Statements of Changes in Shareholders’ Equity for the six months ended December 31, 2014 and 2013; (v) Consolidated Statements of Cash Flows for the six months ended December 31, 2014 and 2013; and (v) Notes to Unaudited Consolidated Financial Statements.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7"/>
          <w:szCs w:val="17"/>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40" w:type="dxa"/>
            <w:vAlign w:val="bottom"/>
          </w:tcPr>
          <w:p>
            <w:pPr>
              <w:spacing w:after="0"/>
              <w:rPr>
                <w:sz w:val="20"/>
                <w:szCs w:val="20"/>
                <w:color w:val="auto"/>
              </w:rPr>
            </w:pPr>
            <w:r>
              <w:rPr>
                <w:rFonts w:ascii="Arial" w:cs="Arial" w:eastAsia="Arial" w:hAnsi="Arial"/>
                <w:sz w:val="18"/>
                <w:szCs w:val="18"/>
                <w:color w:val="auto"/>
              </w:rPr>
              <w:t>Date: February 13, 2015</w:t>
            </w:r>
          </w:p>
        </w:tc>
        <w:tc>
          <w:tcPr>
            <w:tcW w:w="5380" w:type="dxa"/>
            <w:vAlign w:val="bottom"/>
          </w:tcPr>
          <w:p>
            <w:pPr>
              <w:spacing w:after="0"/>
              <w:rPr>
                <w:sz w:val="20"/>
                <w:szCs w:val="20"/>
                <w:color w:val="auto"/>
              </w:rPr>
            </w:pPr>
            <w:r>
              <w:rPr>
                <w:rFonts w:ascii="Arial" w:cs="Arial" w:eastAsia="Arial" w:hAnsi="Arial"/>
                <w:sz w:val="18"/>
                <w:szCs w:val="18"/>
                <w:b w:val="1"/>
                <w:bCs w:val="1"/>
                <w:color w:val="auto"/>
              </w:rPr>
              <w:t>NORTHEAST BANCORP</w:t>
            </w:r>
          </w:p>
        </w:tc>
        <w:tc>
          <w:tcPr>
            <w:tcW w:w="40" w:type="dxa"/>
            <w:vAlign w:val="bottom"/>
          </w:tcPr>
          <w:p>
            <w:pPr>
              <w:spacing w:after="0"/>
              <w:rPr>
                <w:sz w:val="19"/>
                <w:szCs w:val="19"/>
                <w:color w:val="auto"/>
              </w:rPr>
            </w:pPr>
          </w:p>
        </w:tc>
      </w:tr>
      <w:tr>
        <w:trPr>
          <w:trHeight w:val="230"/>
        </w:trPr>
        <w:tc>
          <w:tcPr>
            <w:tcW w:w="6040" w:type="dxa"/>
            <w:vAlign w:val="bottom"/>
          </w:tcPr>
          <w:p>
            <w:pPr>
              <w:ind w:left="55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6040" w:type="dxa"/>
            <w:vAlign w:val="bottom"/>
          </w:tcPr>
          <w:p>
            <w:pPr>
              <w:spacing w:after="0"/>
              <w:rPr>
                <w:sz w:val="16"/>
                <w:szCs w:val="16"/>
                <w:color w:val="auto"/>
              </w:rPr>
            </w:pPr>
          </w:p>
        </w:tc>
        <w:tc>
          <w:tcPr>
            <w:tcW w:w="5380" w:type="dxa"/>
            <w:vAlign w:val="bottom"/>
          </w:tcPr>
          <w:p>
            <w:pPr>
              <w:ind w:left="36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604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President and CEO</w:t>
            </w:r>
          </w:p>
        </w:tc>
        <w:tc>
          <w:tcPr>
            <w:tcW w:w="40" w:type="dxa"/>
            <w:vAlign w:val="bottom"/>
          </w:tcPr>
          <w:p>
            <w:pPr>
              <w:spacing w:after="0"/>
              <w:rPr>
                <w:sz w:val="20"/>
                <w:szCs w:val="20"/>
                <w:color w:val="auto"/>
              </w:rPr>
            </w:pPr>
          </w:p>
        </w:tc>
      </w:tr>
      <w:tr>
        <w:trPr>
          <w:trHeight w:val="432"/>
        </w:trPr>
        <w:tc>
          <w:tcPr>
            <w:tcW w:w="6040" w:type="dxa"/>
            <w:vAlign w:val="bottom"/>
          </w:tcPr>
          <w:p>
            <w:pPr>
              <w:ind w:left="55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Shaughnessy</w:t>
            </w:r>
          </w:p>
        </w:tc>
        <w:tc>
          <w:tcPr>
            <w:tcW w:w="40" w:type="dxa"/>
            <w:vAlign w:val="bottom"/>
          </w:tcPr>
          <w:p>
            <w:pPr>
              <w:spacing w:after="0"/>
              <w:rPr>
                <w:sz w:val="24"/>
                <w:szCs w:val="24"/>
                <w:color w:val="auto"/>
              </w:rPr>
            </w:pPr>
          </w:p>
        </w:tc>
      </w:tr>
      <w:tr>
        <w:trPr>
          <w:trHeight w:val="195"/>
        </w:trPr>
        <w:tc>
          <w:tcPr>
            <w:tcW w:w="6040" w:type="dxa"/>
            <w:vAlign w:val="bottom"/>
          </w:tcPr>
          <w:p>
            <w:pPr>
              <w:spacing w:after="0"/>
              <w:rPr>
                <w:sz w:val="16"/>
                <w:szCs w:val="16"/>
                <w:color w:val="auto"/>
              </w:rPr>
            </w:pPr>
          </w:p>
        </w:tc>
        <w:tc>
          <w:tcPr>
            <w:tcW w:w="5380" w:type="dxa"/>
            <w:vAlign w:val="bottom"/>
          </w:tcPr>
          <w:p>
            <w:pPr>
              <w:ind w:left="360"/>
              <w:spacing w:after="0" w:line="195" w:lineRule="exact"/>
              <w:rPr>
                <w:sz w:val="20"/>
                <w:szCs w:val="20"/>
                <w:color w:val="auto"/>
              </w:rPr>
            </w:pPr>
            <w:r>
              <w:rPr>
                <w:rFonts w:ascii="Arial" w:cs="Arial" w:eastAsia="Arial" w:hAnsi="Arial"/>
                <w:sz w:val="18"/>
                <w:szCs w:val="18"/>
                <w:color w:val="auto"/>
              </w:rPr>
              <w:t>Brian Shaughnessy</w:t>
            </w:r>
          </w:p>
        </w:tc>
        <w:tc>
          <w:tcPr>
            <w:tcW w:w="40" w:type="dxa"/>
            <w:vAlign w:val="bottom"/>
          </w:tcPr>
          <w:p>
            <w:pPr>
              <w:spacing w:after="0"/>
              <w:rPr>
                <w:sz w:val="16"/>
                <w:szCs w:val="16"/>
                <w:color w:val="auto"/>
              </w:rPr>
            </w:pPr>
          </w:p>
        </w:tc>
      </w:tr>
      <w:tr>
        <w:trPr>
          <w:trHeight w:val="230"/>
        </w:trPr>
        <w:tc>
          <w:tcPr>
            <w:tcW w:w="604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04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5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040" w:type="dxa"/>
            <w:vAlign w:val="bottom"/>
            <w:tcBorders>
              <w:bottom w:val="single" w:sz="8" w:color="010101"/>
            </w:tcBorders>
          </w:tcPr>
          <w:p>
            <w:pPr>
              <w:spacing w:after="0"/>
              <w:rPr>
                <w:sz w:val="11"/>
                <w:szCs w:val="11"/>
                <w:color w:val="auto"/>
              </w:rPr>
            </w:pPr>
          </w:p>
        </w:tc>
        <w:tc>
          <w:tcPr>
            <w:tcW w:w="5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NORTHEAST BANCORP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w:t>
      </w:r>
    </w:p>
    <w:p>
      <w:pPr>
        <w:sectPr>
          <w:pgSz w:w="11900" w:h="16876" w:orient="portrait"/>
          <w:cols w:equalWidth="0" w:num="1">
            <w:col w:w="11460"/>
          </w:cols>
          <w:pgMar w:left="240" w:top="125" w:right="199" w:bottom="0" w:gutter="0" w:footer="0" w:header="0"/>
        </w:sectPr>
      </w:pPr>
    </w:p>
    <w:p>
      <w:pPr>
        <w:spacing w:after="0" w:line="202" w:lineRule="exact"/>
        <w:rPr>
          <w:sz w:val="20"/>
          <w:szCs w:val="20"/>
          <w:color w:val="auto"/>
        </w:rPr>
      </w:pPr>
    </w:p>
    <w:p>
      <w:pPr>
        <w:spacing w:after="0"/>
        <w:tabs>
          <w:tab w:leader="none" w:pos="6040" w:val="left"/>
        </w:tabs>
        <w:rPr>
          <w:sz w:val="20"/>
          <w:szCs w:val="20"/>
          <w:color w:val="auto"/>
        </w:rPr>
      </w:pPr>
      <w:r>
        <w:rPr>
          <w:rFonts w:ascii="Arial" w:cs="Arial" w:eastAsia="Arial" w:hAnsi="Arial"/>
          <w:sz w:val="13"/>
          <w:szCs w:val="13"/>
          <w:b w:val="1"/>
          <w:bCs w:val="1"/>
          <w:color w:val="auto"/>
        </w:rPr>
        <w:t>Exhibits</w:t>
      </w:r>
      <w:r>
        <w:rPr>
          <w:sz w:val="20"/>
          <w:szCs w:val="20"/>
          <w:color w:val="auto"/>
        </w:rPr>
        <w:tab/>
      </w:r>
      <w:r>
        <w:rPr>
          <w:rFonts w:ascii="Arial" w:cs="Arial" w:eastAsia="Arial" w:hAnsi="Arial"/>
          <w:sz w:val="13"/>
          <w:szCs w:val="13"/>
          <w:b w:val="1"/>
          <w:bCs w:val="1"/>
          <w:color w:val="auto"/>
        </w:rPr>
        <w:t>Description</w:t>
      </w:r>
    </w:p>
    <w:p>
      <w:pPr>
        <w:sectPr>
          <w:pgSz w:w="11900" w:h="16876" w:orient="portrait"/>
          <w:cols w:equalWidth="0" w:num="1">
            <w:col w:w="11460"/>
          </w:cols>
          <w:pgMar w:left="240" w:top="125" w:right="199" w:bottom="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No.</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rPr>
              <w:t>31.1</w:t>
            </w:r>
          </w:p>
        </w:tc>
        <w:tc>
          <w:tcPr>
            <w:tcW w:w="320" w:type="dxa"/>
            <w:vAlign w:val="bottom"/>
          </w:tcPr>
          <w:p>
            <w:pPr>
              <w:spacing w:after="0"/>
              <w:rPr>
                <w:sz w:val="16"/>
                <w:szCs w:val="16"/>
                <w:color w:val="auto"/>
              </w:rPr>
            </w:pPr>
          </w:p>
        </w:tc>
        <w:tc>
          <w:tcPr>
            <w:tcW w:w="10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Certification of the Chief Executive Officer pursuant to Section 302 of the Sarbanes-Oxley Act of 2002 (Rule 13a-14(a)). *</w:t>
            </w:r>
          </w:p>
        </w:tc>
      </w:tr>
      <w:tr>
        <w:trPr>
          <w:trHeight w:val="216"/>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(Rule 13a-14(a)). *</w:t>
            </w:r>
          </w:p>
        </w:tc>
      </w:tr>
      <w:tr>
        <w:trPr>
          <w:trHeight w:val="216"/>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1"/>
              </w:rPr>
              <w:t>Certificate of the Chief Executive Officer pursuant to 18 U.S.C. Section 1350, as adopted pursuant to Section 906 of the Sarbanes-Oxley</w:t>
            </w:r>
          </w:p>
        </w:tc>
      </w:tr>
      <w:tr>
        <w:trPr>
          <w:trHeight w:val="216"/>
        </w:trPr>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Act of 2002 (Rule 13a-14(b)). **</w:t>
            </w:r>
          </w:p>
        </w:tc>
      </w:tr>
      <w:tr>
        <w:trPr>
          <w:trHeight w:val="216"/>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2"/>
              </w:rPr>
              <w:t>Certificate of the Chief Financial Officer pursuant to 18 U.S.C. Section 1350, as adopted pursuant to Section 906 of the Sarbanes-Oxley</w:t>
            </w:r>
          </w:p>
        </w:tc>
      </w:tr>
      <w:tr>
        <w:trPr>
          <w:trHeight w:val="230"/>
        </w:trPr>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Act of 2002 (Rule 13a-14(b)). **</w:t>
            </w:r>
          </w:p>
        </w:tc>
      </w:tr>
    </w:tbl>
    <w:p>
      <w:pPr>
        <w:ind w:left="1420" w:right="60" w:hanging="1000"/>
        <w:spacing w:after="0" w:line="281" w:lineRule="auto"/>
        <w:tabs>
          <w:tab w:leader="none" w:pos="14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following materials from Northeast Bancorp’s Quarterly Report on Form 10-Q for the quarter ended December 31, 2014 formatted in XBRL: (i) Consolidated Balance Sheets at December 31, 2014 and June 30, 2014; (ii) Consolidated Statements of Income for the three and six months ended December 31, 2014 and 2013; (iii) Consolidated Statements of Comprehensive Income for the three and six months ended December 30, 2014 and 2013; (iv) Consolidated Statements of Changes in Shareholders’ Equity for the six months ended December 31, 2014 and 2013; (v) Consolidated Statements of Cash Flows for the six months ended December 31, 2014 and 2013; and</w:t>
      </w:r>
    </w:p>
    <w:p>
      <w:pPr>
        <w:spacing w:after="0" w:line="3"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(v) Notes to Unaudited Consolidated Financial Statements.</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6"/>
          <w:szCs w:val="16"/>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720" w:hanging="53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720" w:right="280" w:hanging="539"/>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40" w:hanging="539"/>
        <w:spacing w:after="0" w:line="308"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80" w:hanging="539"/>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20" w:right="240" w:hanging="10"/>
        <w:spacing w:after="0" w:line="264" w:lineRule="auto"/>
        <w:tabs>
          <w:tab w:leader="none" w:pos="10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20" w:right="220" w:hanging="10"/>
        <w:spacing w:after="0" w:line="264" w:lineRule="auto"/>
        <w:tabs>
          <w:tab w:leader="none" w:pos="97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20" w:right="760" w:hanging="10"/>
        <w:spacing w:after="0" w:line="342" w:lineRule="auto"/>
        <w:tabs>
          <w:tab w:leader="none" w:pos="101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720" w:right="240" w:hanging="10"/>
        <w:spacing w:after="0" w:line="264"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539"/>
        <w:spacing w:after="0" w:line="308"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right="160" w:hanging="10"/>
        <w:spacing w:after="0" w:line="277"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right="100" w:hanging="10"/>
        <w:spacing w:after="0" w:line="277" w:lineRule="auto"/>
        <w:tabs>
          <w:tab w:leader="none" w:pos="10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February 13, 2015</w:t>
            </w:r>
          </w:p>
        </w:tc>
        <w:tc>
          <w:tcPr>
            <w:tcW w:w="22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Brian Shaughnessy, certify that:</w:t>
      </w:r>
    </w:p>
    <w:p>
      <w:pPr>
        <w:spacing w:after="0" w:line="225" w:lineRule="exact"/>
        <w:rPr>
          <w:sz w:val="20"/>
          <w:szCs w:val="20"/>
          <w:color w:val="auto"/>
        </w:rPr>
      </w:pPr>
    </w:p>
    <w:p>
      <w:pPr>
        <w:ind w:left="660" w:hanging="395"/>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660" w:right="320" w:hanging="395"/>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395"/>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20" w:hanging="395"/>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60" w:firstLine="5"/>
        <w:spacing w:after="0" w:line="264" w:lineRule="auto"/>
        <w:tabs>
          <w:tab w:leader="none" w:pos="9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80" w:firstLine="5"/>
        <w:spacing w:after="0" w:line="264" w:lineRule="auto"/>
        <w:tabs>
          <w:tab w:leader="none" w:pos="91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0" w:firstLine="5"/>
        <w:spacing w:after="0" w:line="342" w:lineRule="auto"/>
        <w:tabs>
          <w:tab w:leader="none" w:pos="95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80" w:firstLine="5"/>
        <w:spacing w:after="0" w:line="264"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95"/>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0" w:firstLine="5"/>
        <w:spacing w:after="0" w:line="277" w:lineRule="auto"/>
        <w:tabs>
          <w:tab w:leader="none" w:pos="9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60" w:firstLine="5"/>
        <w:spacing w:after="0" w:line="277" w:lineRule="auto"/>
        <w:tabs>
          <w:tab w:leader="none" w:pos="9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February 13, 2015</w:t>
            </w:r>
          </w:p>
        </w:tc>
        <w:tc>
          <w:tcPr>
            <w:tcW w:w="22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Shaughnessy</w:t>
            </w:r>
          </w:p>
        </w:tc>
        <w:tc>
          <w:tcPr>
            <w:tcW w:w="40" w:type="dxa"/>
            <w:vAlign w:val="bottom"/>
          </w:tcPr>
          <w:p>
            <w:pPr>
              <w:spacing w:after="0"/>
              <w:rPr>
                <w:sz w:val="20"/>
                <w:szCs w:val="20"/>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Brian Shaughnessy</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the Chief Executive Officer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December 31, 2014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1" w:lineRule="exact"/>
        <w:rPr>
          <w:sz w:val="20"/>
          <w:szCs w:val="20"/>
          <w:color w:val="auto"/>
        </w:rPr>
      </w:pPr>
    </w:p>
    <w:p>
      <w:pPr>
        <w:ind w:left="620" w:hanging="288"/>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40" w:right="160" w:hanging="8"/>
        <w:spacing w:after="0" w:line="277" w:lineRule="auto"/>
        <w:tabs>
          <w:tab w:leader="none" w:pos="6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February 13, 2015</w:t>
            </w:r>
          </w:p>
        </w:tc>
        <w:tc>
          <w:tcPr>
            <w:tcW w:w="22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the Chief Financial Officer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December 31, 2014 as filed with the Securities and Exchange Commission on the date hereof (the “Report”), I, Brian Shaughnessy, as Chief Financial Officer of the Company, hereby certify pursuant to 18 U.S.C. 1350, as adopted pursuant to 906 of the Sarbanes-Oxley Act of 2002, that:</w:t>
      </w:r>
    </w:p>
    <w:p>
      <w:pPr>
        <w:spacing w:after="0" w:line="181" w:lineRule="exact"/>
        <w:rPr>
          <w:sz w:val="20"/>
          <w:szCs w:val="20"/>
          <w:color w:val="auto"/>
        </w:rPr>
      </w:pPr>
    </w:p>
    <w:p>
      <w:pPr>
        <w:ind w:left="620" w:hanging="288"/>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40" w:right="160" w:hanging="8"/>
        <w:spacing w:after="0" w:line="277" w:lineRule="auto"/>
        <w:tabs>
          <w:tab w:leader="none" w:pos="6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February 13, 2015</w:t>
            </w:r>
          </w:p>
        </w:tc>
        <w:tc>
          <w:tcPr>
            <w:tcW w:w="22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Shaughnessy</w:t>
            </w:r>
          </w:p>
        </w:tc>
        <w:tc>
          <w:tcPr>
            <w:tcW w:w="40" w:type="dxa"/>
            <w:vAlign w:val="bottom"/>
          </w:tcPr>
          <w:p>
            <w:pPr>
              <w:spacing w:after="0"/>
              <w:rPr>
                <w:sz w:val="20"/>
                <w:szCs w:val="20"/>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Brian Shaughnessy</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1."/>
      <w:numFmt w:val="decimal"/>
      <w:start w:val="4"/>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0"/>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
      <w:numFmt w:val="bullet"/>
      <w:start w:val="1"/>
    </w:lvl>
    <w:lvl w:ilvl="1">
      <w:lvlJc w:val="left"/>
      <w:lvlText w:val="%2"/>
      <w:numFmt w:val="decimal"/>
      <w:start w:val="101"/>
    </w:lvl>
  </w:abstractNum>
  <w:abstractNum w:abstractNumId="27">
    <w:nsid w:val="7C3DBD3D"/>
    <w:multiLevelType w:val="hybridMultilevel"/>
    <w:lvl w:ilvl="0">
      <w:lvlJc w:val="left"/>
      <w:lvlText w:val="**"/>
      <w:numFmt w:val="bullet"/>
      <w:start w:val="1"/>
    </w:lvl>
    <w:lvl w:ilvl="1">
      <w:lvlJc w:val="left"/>
      <w:lvlText w:val="%2"/>
      <w:numFmt w:val="decimal"/>
      <w:start w:val="1"/>
    </w:lvl>
  </w:abstractNum>
  <w:abstractNum w:abstractNumId="28">
    <w:nsid w:val="737B8DDC"/>
    <w:multiLevelType w:val="hybridMultilevel"/>
    <w:lvl w:ilvl="0">
      <w:lvlJc w:val="left"/>
      <w:lvlText w:val="*"/>
      <w:numFmt w:val="bullet"/>
      <w:start w:val="1"/>
    </w:lvl>
    <w:lvl w:ilvl="1">
      <w:lvlJc w:val="left"/>
      <w:lvlText w:val="%2"/>
      <w:numFmt w:val="decimal"/>
      <w:start w:val="101"/>
    </w:lvl>
  </w:abstractNum>
  <w:abstractNum w:abstractNumId="29">
    <w:nsid w:val="6CEAF087"/>
    <w:multiLevelType w:val="hybridMultilevel"/>
    <w:lvl w:ilvl="0">
      <w:lvlJc w:val="left"/>
      <w:lvlText w:val="**"/>
      <w:numFmt w:val="bullet"/>
      <w:start w:val="1"/>
    </w:lvl>
    <w:lvl w:ilvl="1">
      <w:lvlJc w:val="left"/>
      <w:lvlText w:val="%2"/>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2019-12-29T19:19:48Z</dcterms:created>
  <dcterms:modified xsi:type="dcterms:W3CDTF">2019-12-29T19:19:48Z</dcterms:modified>
</cp:coreProperties>
</file>