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December 31, 2012</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1-14588</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Northeast Bancorp</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7"/>
              </w:rPr>
              <w:t>Maine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01-0425066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500 Canal Street, Lewiston, Maine</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04240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(207) 786-3245</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x No o</w:t>
      </w:r>
    </w:p>
    <w:p>
      <w:pPr>
        <w:spacing w:after="0" w:line="181"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2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320"/>
          </w:cols>
          <w:pgMar w:left="240" w:top="233" w:right="339" w:bottom="0" w:gutter="0" w:footer="0" w:header="0"/>
        </w:sectPr>
      </w:pPr>
    </w:p>
    <w:p>
      <w:pPr>
        <w:spacing w:after="0" w:line="124"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180" w:space="720"/>
            <w:col w:w="3420"/>
          </w:cols>
          <w:pgMar w:left="240" w:top="233" w:right="339" w:bottom="0" w:gutter="0" w:footer="0" w:header="0"/>
          <w:type w:val="continuous"/>
        </w:sectPr>
      </w:pPr>
    </w:p>
    <w:p>
      <w:pPr>
        <w:spacing w:after="0" w:line="48"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6740" w:space="720"/>
            <w:col w:w="3860"/>
          </w:cols>
          <w:pgMar w:left="240" w:top="233" w:right="339" w:bottom="0" w:gutter="0" w:footer="0" w:header="0"/>
          <w:type w:val="continuous"/>
        </w:sectPr>
      </w:pPr>
    </w:p>
    <w:p>
      <w:pPr>
        <w:spacing w:after="0" w:line="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January 31, 2013, the registrant had outstanding 9,467,372 shares of voting common stock, $1.00 par value per share and 916,069 shares of non-voting common stock, $1.00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tabs>
          <w:tab w:leader="none" w:pos="980" w:val="left"/>
        </w:tabs>
        <w:rPr>
          <w:rFonts w:ascii="Arial" w:cs="Arial" w:eastAsia="Arial" w:hAnsi="Arial"/>
          <w:sz w:val="16"/>
          <w:szCs w:val="16"/>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6"/>
            <w:szCs w:val="16"/>
            <w:b w:val="1"/>
            <w:bCs w:val="1"/>
            <w:u w:val="single" w:color="auto"/>
            <w:color w:val="0000EE"/>
          </w:rPr>
          <w:t>Financial Information</w:t>
        </w:r>
      </w:hyperlink>
    </w:p>
    <w:p>
      <w:pPr>
        <w:spacing w:after="0" w:line="27" w:lineRule="exact"/>
        <w:rPr>
          <w:sz w:val="20"/>
          <w:szCs w:val="20"/>
          <w:color w:val="auto"/>
        </w:rPr>
      </w:pPr>
    </w:p>
    <w:p>
      <w:pPr>
        <w:ind w:left="1000"/>
        <w:spacing w:after="0"/>
        <w:tabs>
          <w:tab w:leader="none" w:pos="1980" w:val="left"/>
        </w:tabs>
        <w:rPr>
          <w:rFonts w:ascii="Arial" w:cs="Arial" w:eastAsia="Arial" w:hAnsi="Arial"/>
          <w:sz w:val="16"/>
          <w:szCs w:val="16"/>
          <w:b w:val="1"/>
          <w:bCs w:val="1"/>
          <w:u w:val="single" w:color="auto"/>
          <w:color w:val="0000EE"/>
        </w:rPr>
      </w:pPr>
      <w:hyperlink w:anchor="page2">
        <w:r>
          <w:rPr>
            <w:rFonts w:ascii="Arial" w:cs="Arial" w:eastAsia="Arial" w:hAnsi="Arial"/>
            <w:sz w:val="18"/>
            <w:szCs w:val="18"/>
            <w:b w:val="1"/>
            <w:bCs w:val="1"/>
            <w:u w:val="single" w:color="auto"/>
            <w:color w:val="0000EE"/>
          </w:rPr>
          <w:t>Item 1.</w:t>
        </w:r>
      </w:hyperlink>
      <w:r>
        <w:rPr>
          <w:rFonts w:ascii="Arial" w:cs="Arial" w:eastAsia="Arial" w:hAnsi="Arial"/>
          <w:sz w:val="18"/>
          <w:szCs w:val="18"/>
          <w:b w:val="1"/>
          <w:bCs w:val="1"/>
          <w:u w:val="single" w:color="auto"/>
          <w:color w:val="0000EE"/>
        </w:rPr>
        <w:tab/>
      </w:r>
      <w:hyperlink w:anchor="page2">
        <w:r>
          <w:rPr>
            <w:rFonts w:ascii="Arial" w:cs="Arial" w:eastAsia="Arial" w:hAnsi="Arial"/>
            <w:sz w:val="16"/>
            <w:szCs w:val="16"/>
            <w:b w:val="1"/>
            <w:bCs w:val="1"/>
            <w:u w:val="single" w:color="auto"/>
            <w:color w:val="0000EE"/>
          </w:rPr>
          <w:t>Financial Statements (unaudited)</w:t>
        </w:r>
      </w:hyperlink>
    </w:p>
    <w:p>
      <w:pPr>
        <w:spacing w:after="0" w:line="9" w:lineRule="exact"/>
        <w:rPr>
          <w:sz w:val="20"/>
          <w:szCs w:val="20"/>
          <w:color w:val="auto"/>
        </w:rPr>
      </w:pPr>
    </w:p>
    <w:p>
      <w:pPr>
        <w:ind w:left="20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Consolidated Balance Sheets</w:t>
        </w:r>
      </w:hyperlink>
    </w:p>
    <w:p>
      <w:pPr>
        <w:spacing w:after="0" w:line="9"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December 31, 2012 and June 30, 2012</w:t>
        </w:r>
      </w:hyperlink>
    </w:p>
    <w:p>
      <w:pPr>
        <w:spacing w:after="0" w:line="207" w:lineRule="exact"/>
        <w:rPr>
          <w:sz w:val="20"/>
          <w:szCs w:val="20"/>
          <w:color w:val="auto"/>
        </w:rPr>
      </w:pPr>
    </w:p>
    <w:p>
      <w:pPr>
        <w:ind w:left="200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Consolidated Statements of Income</w:t>
        </w:r>
      </w:hyperlink>
    </w:p>
    <w:p>
      <w:pPr>
        <w:spacing w:after="0" w:line="27"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Three Months Ended December 31, 2012 and 2011</w:t>
        </w:r>
      </w:hyperlink>
    </w:p>
    <w:p>
      <w:pPr>
        <w:spacing w:after="0" w:line="9"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Six Months Ended December 31, 2012 and 2011</w:t>
        </w:r>
      </w:hyperlink>
    </w:p>
    <w:p>
      <w:pPr>
        <w:spacing w:after="0" w:line="207" w:lineRule="exact"/>
        <w:rPr>
          <w:sz w:val="20"/>
          <w:szCs w:val="20"/>
          <w:color w:val="auto"/>
        </w:rPr>
      </w:pPr>
    </w:p>
    <w:p>
      <w:pPr>
        <w:ind w:left="200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Statements of Comprehensive Income</w:t>
        </w:r>
      </w:hyperlink>
    </w:p>
    <w:p>
      <w:pPr>
        <w:spacing w:after="0" w:line="27"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Three Months Ended December 31, 2012 and 2011</w:t>
        </w:r>
      </w:hyperlink>
    </w:p>
    <w:p>
      <w:pPr>
        <w:spacing w:after="0" w:line="9"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Six Months Ended December 31, 2012 and 2011</w:t>
        </w:r>
      </w:hyperlink>
    </w:p>
    <w:p>
      <w:pPr>
        <w:spacing w:after="0" w:line="207" w:lineRule="exact"/>
        <w:rPr>
          <w:sz w:val="20"/>
          <w:szCs w:val="20"/>
          <w:color w:val="auto"/>
        </w:rPr>
      </w:pPr>
    </w:p>
    <w:p>
      <w:pPr>
        <w:ind w:left="200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Statements of Changes in Stockholders’ Equity</w:t>
        </w:r>
      </w:hyperlink>
    </w:p>
    <w:p>
      <w:pPr>
        <w:spacing w:after="0" w:line="27"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Six Months Ended December 31, 2012 and 2011</w:t>
        </w:r>
      </w:hyperlink>
    </w:p>
    <w:p>
      <w:pPr>
        <w:spacing w:after="0" w:line="207" w:lineRule="exact"/>
        <w:rPr>
          <w:sz w:val="20"/>
          <w:szCs w:val="20"/>
          <w:color w:val="auto"/>
        </w:rPr>
      </w:pPr>
    </w:p>
    <w:p>
      <w:pPr>
        <w:ind w:left="200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Consolidated Statements of Cash Flows</w:t>
        </w:r>
      </w:hyperlink>
    </w:p>
    <w:p>
      <w:pPr>
        <w:spacing w:after="0" w:line="27" w:lineRule="exact"/>
        <w:rPr>
          <w:sz w:val="20"/>
          <w:szCs w:val="20"/>
          <w:color w:val="auto"/>
        </w:rPr>
      </w:pPr>
    </w:p>
    <w:p>
      <w:pPr>
        <w:ind w:left="218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Six Months Ended December 31, 2012 and 2011</w:t>
        </w:r>
      </w:hyperlink>
    </w:p>
    <w:p>
      <w:pPr>
        <w:sectPr>
          <w:pgSz w:w="11900" w:h="16838" w:orient="portrait"/>
          <w:cols w:equalWidth="0" w:num="1">
            <w:col w:w="11320"/>
          </w:cols>
          <w:pgMar w:left="240" w:top="233" w:right="339" w:bottom="0" w:gutter="0" w:footer="0" w:header="0"/>
          <w:type w:val="continuous"/>
        </w:sectPr>
      </w:pPr>
    </w:p>
    <w:bookmarkStart w:id="1" w:name="page2"/>
    <w:bookmarkEnd w:id="1"/>
    <w:p>
      <w:pPr>
        <w:spacing w:after="0" w:line="62" w:lineRule="exact"/>
        <w:rPr>
          <w:sz w:val="20"/>
          <w:szCs w:val="20"/>
          <w:color w:val="auto"/>
        </w:rPr>
      </w:pPr>
    </w:p>
    <w:p>
      <w:pPr>
        <w:ind w:left="2000"/>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Notes to Consolidated Financial Statements</w:t>
        </w:r>
      </w:hyperlink>
    </w:p>
    <w:p>
      <w:pPr>
        <w:spacing w:after="0" w:line="225" w:lineRule="exact"/>
        <w:rPr>
          <w:sz w:val="20"/>
          <w:szCs w:val="20"/>
          <w:color w:val="auto"/>
        </w:rPr>
      </w:pPr>
    </w:p>
    <w:p>
      <w:pPr>
        <w:ind w:left="1000"/>
        <w:spacing w:after="0"/>
        <w:tabs>
          <w:tab w:leader="none" w:pos="1980" w:val="left"/>
        </w:tabs>
        <w:rPr>
          <w:rFonts w:ascii="Arial" w:cs="Arial" w:eastAsia="Arial" w:hAnsi="Arial"/>
          <w:sz w:val="16"/>
          <w:szCs w:val="16"/>
          <w:b w:val="1"/>
          <w:bCs w:val="1"/>
          <w:u w:val="single" w:color="auto"/>
          <w:color w:val="0000EE"/>
        </w:rPr>
      </w:pPr>
      <w:hyperlink w:anchor="page22">
        <w:r>
          <w:rPr>
            <w:rFonts w:ascii="Arial" w:cs="Arial" w:eastAsia="Arial" w:hAnsi="Arial"/>
            <w:sz w:val="18"/>
            <w:szCs w:val="18"/>
            <w:b w:val="1"/>
            <w:bCs w:val="1"/>
            <w:u w:val="single" w:color="auto"/>
            <w:color w:val="0000EE"/>
          </w:rPr>
          <w:t>Item 2.</w:t>
        </w:r>
      </w:hyperlink>
      <w:r>
        <w:rPr>
          <w:rFonts w:ascii="Arial" w:cs="Arial" w:eastAsia="Arial" w:hAnsi="Arial"/>
          <w:sz w:val="18"/>
          <w:szCs w:val="18"/>
          <w:b w:val="1"/>
          <w:bCs w:val="1"/>
          <w:u w:val="single" w:color="auto"/>
          <w:color w:val="0000EE"/>
        </w:rPr>
        <w:tab/>
      </w:r>
      <w:hyperlink w:anchor="page22">
        <w:r>
          <w:rPr>
            <w:rFonts w:ascii="Arial" w:cs="Arial" w:eastAsia="Arial" w:hAnsi="Arial"/>
            <w:sz w:val="16"/>
            <w:szCs w:val="16"/>
            <w:b w:val="1"/>
            <w:bCs w:val="1"/>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1000"/>
        <w:spacing w:after="0"/>
        <w:tabs>
          <w:tab w:leader="none" w:pos="1980" w:val="left"/>
        </w:tabs>
        <w:rPr>
          <w:rFonts w:ascii="Arial" w:cs="Arial" w:eastAsia="Arial" w:hAnsi="Arial"/>
          <w:sz w:val="16"/>
          <w:szCs w:val="16"/>
          <w:b w:val="1"/>
          <w:bCs w:val="1"/>
          <w:u w:val="single" w:color="auto"/>
          <w:color w:val="0000EE"/>
        </w:rPr>
      </w:pPr>
      <w:hyperlink w:anchor="page35">
        <w:r>
          <w:rPr>
            <w:rFonts w:ascii="Arial" w:cs="Arial" w:eastAsia="Arial" w:hAnsi="Arial"/>
            <w:sz w:val="18"/>
            <w:szCs w:val="18"/>
            <w:b w:val="1"/>
            <w:bCs w:val="1"/>
            <w:u w:val="single" w:color="auto"/>
            <w:color w:val="0000EE"/>
          </w:rPr>
          <w:t>Item 3.</w:t>
        </w:r>
      </w:hyperlink>
      <w:r>
        <w:rPr>
          <w:rFonts w:ascii="Arial" w:cs="Arial" w:eastAsia="Arial" w:hAnsi="Arial"/>
          <w:sz w:val="18"/>
          <w:szCs w:val="18"/>
          <w:b w:val="1"/>
          <w:bCs w:val="1"/>
          <w:u w:val="single" w:color="auto"/>
          <w:color w:val="0000EE"/>
        </w:rPr>
        <w:tab/>
      </w:r>
      <w:hyperlink w:anchor="page35">
        <w:r>
          <w:rPr>
            <w:rFonts w:ascii="Arial" w:cs="Arial" w:eastAsia="Arial" w:hAnsi="Arial"/>
            <w:sz w:val="16"/>
            <w:szCs w:val="16"/>
            <w:b w:val="1"/>
            <w:bCs w:val="1"/>
            <w:u w:val="single" w:color="auto"/>
            <w:color w:val="0000EE"/>
          </w:rPr>
          <w:t>Quantitative and Qualitative Disclosure about Market Risk</w:t>
        </w:r>
      </w:hyperlink>
    </w:p>
    <w:p>
      <w:pPr>
        <w:spacing w:after="0" w:line="225" w:lineRule="exact"/>
        <w:rPr>
          <w:sz w:val="20"/>
          <w:szCs w:val="20"/>
          <w:color w:val="auto"/>
        </w:rPr>
      </w:pPr>
    </w:p>
    <w:p>
      <w:pPr>
        <w:ind w:left="1000"/>
        <w:spacing w:after="0"/>
        <w:tabs>
          <w:tab w:leader="none" w:pos="1980" w:val="left"/>
        </w:tabs>
        <w:rPr>
          <w:rFonts w:ascii="Arial" w:cs="Arial" w:eastAsia="Arial" w:hAnsi="Arial"/>
          <w:sz w:val="16"/>
          <w:szCs w:val="16"/>
          <w:b w:val="1"/>
          <w:bCs w:val="1"/>
          <w:u w:val="single" w:color="auto"/>
          <w:color w:val="0000EE"/>
        </w:rPr>
      </w:pPr>
      <w:hyperlink w:anchor="page35">
        <w:r>
          <w:rPr>
            <w:rFonts w:ascii="Arial" w:cs="Arial" w:eastAsia="Arial" w:hAnsi="Arial"/>
            <w:sz w:val="18"/>
            <w:szCs w:val="18"/>
            <w:b w:val="1"/>
            <w:bCs w:val="1"/>
            <w:u w:val="single" w:color="auto"/>
            <w:color w:val="0000EE"/>
          </w:rPr>
          <w:t>Item 4.</w:t>
        </w:r>
      </w:hyperlink>
      <w:r>
        <w:rPr>
          <w:rFonts w:ascii="Arial" w:cs="Arial" w:eastAsia="Arial" w:hAnsi="Arial"/>
          <w:sz w:val="18"/>
          <w:szCs w:val="18"/>
          <w:b w:val="1"/>
          <w:bCs w:val="1"/>
          <w:u w:val="single" w:color="auto"/>
          <w:color w:val="0000EE"/>
        </w:rPr>
        <w:tab/>
      </w:r>
      <w:hyperlink w:anchor="page35">
        <w:r>
          <w:rPr>
            <w:rFonts w:ascii="Arial" w:cs="Arial" w:eastAsia="Arial" w:hAnsi="Arial"/>
            <w:sz w:val="16"/>
            <w:szCs w:val="16"/>
            <w:b w:val="1"/>
            <w:bCs w:val="1"/>
            <w:u w:val="single" w:color="auto"/>
            <w:color w:val="0000EE"/>
          </w:rPr>
          <w:t>Controls and Procedures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gridSpan w:val="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6740" w:type="dxa"/>
            <w:vAlign w:val="bottom"/>
            <w:gridSpan w:val="1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1.</w:t>
              </w:r>
            </w:hyperlink>
          </w:p>
        </w:tc>
        <w:tc>
          <w:tcPr>
            <w:tcW w:w="460" w:type="dxa"/>
            <w:vAlign w:val="bottom"/>
            <w:gridSpan w:val="2"/>
          </w:tcPr>
          <w:p>
            <w:pPr>
              <w:spacing w:after="0"/>
              <w:rPr>
                <w:sz w:val="24"/>
                <w:szCs w:val="24"/>
                <w:color w:val="auto"/>
              </w:rPr>
            </w:pPr>
          </w:p>
        </w:tc>
        <w:tc>
          <w:tcPr>
            <w:tcW w:w="5740" w:type="dxa"/>
            <w:vAlign w:val="bottom"/>
            <w:gridSpan w:val="9"/>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Legal Proceedings</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4"/>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1A.</w:t>
              </w:r>
            </w:hyperlink>
          </w:p>
        </w:tc>
        <w:tc>
          <w:tcPr>
            <w:tcW w:w="5740" w:type="dxa"/>
            <w:vAlign w:val="bottom"/>
            <w:gridSpan w:val="9"/>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Risk Factors</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b w:val="1"/>
                <w:bCs w:val="1"/>
                <w:color w:val="0000EE"/>
                <w:w w:val="91"/>
              </w:rPr>
            </w:pPr>
            <w:hyperlink w:anchor="page36">
              <w:r>
                <w:rPr>
                  <w:rFonts w:ascii="Arial" w:cs="Arial" w:eastAsia="Arial" w:hAnsi="Arial"/>
                  <w:sz w:val="18"/>
                  <w:szCs w:val="18"/>
                  <w:b w:val="1"/>
                  <w:bCs w:val="1"/>
                  <w:color w:val="0000EE"/>
                  <w:w w:val="91"/>
                </w:rPr>
                <w:t>Item 2.</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tcBorders>
              <w:bottom w:val="single" w:sz="8" w:color="0000EE"/>
            </w:tcBorders>
            <w:gridSpan w:val="8"/>
          </w:tcPr>
          <w:p>
            <w:pPr>
              <w:spacing w:after="0"/>
              <w:rPr>
                <w:rFonts w:ascii="Arial" w:cs="Arial" w:eastAsia="Arial" w:hAnsi="Arial"/>
                <w:sz w:val="18"/>
                <w:szCs w:val="18"/>
                <w:b w:val="1"/>
                <w:bCs w:val="1"/>
                <w:color w:val="0000EE"/>
                <w:w w:val="87"/>
              </w:rPr>
            </w:pPr>
            <w:hyperlink w:anchor="page36">
              <w:r>
                <w:rPr>
                  <w:rFonts w:ascii="Arial" w:cs="Arial" w:eastAsia="Arial" w:hAnsi="Arial"/>
                  <w:sz w:val="18"/>
                  <w:szCs w:val="18"/>
                  <w:b w:val="1"/>
                  <w:bCs w:val="1"/>
                  <w:color w:val="0000EE"/>
                  <w:w w:val="87"/>
                </w:rPr>
                <w:t>Unregistered Sales of Equity Securities and Use of Proceeds</w:t>
              </w:r>
            </w:hyperlink>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b w:val="1"/>
                <w:bCs w:val="1"/>
                <w:color w:val="0000EE"/>
                <w:w w:val="91"/>
              </w:rPr>
            </w:pPr>
            <w:hyperlink w:anchor="page36">
              <w:r>
                <w:rPr>
                  <w:rFonts w:ascii="Arial" w:cs="Arial" w:eastAsia="Arial" w:hAnsi="Arial"/>
                  <w:sz w:val="18"/>
                  <w:szCs w:val="18"/>
                  <w:b w:val="1"/>
                  <w:bCs w:val="1"/>
                  <w:color w:val="0000EE"/>
                  <w:w w:val="91"/>
                </w:rPr>
                <w:t>Item 3.</w:t>
              </w:r>
            </w:hyperlink>
          </w:p>
        </w:tc>
        <w:tc>
          <w:tcPr>
            <w:tcW w:w="460" w:type="dxa"/>
            <w:vAlign w:val="bottom"/>
            <w:gridSpan w:val="2"/>
          </w:tcPr>
          <w:p>
            <w:pPr>
              <w:spacing w:after="0"/>
              <w:rPr>
                <w:sz w:val="24"/>
                <w:szCs w:val="24"/>
                <w:color w:val="auto"/>
              </w:rPr>
            </w:pPr>
          </w:p>
        </w:tc>
        <w:tc>
          <w:tcPr>
            <w:tcW w:w="2460" w:type="dxa"/>
            <w:vAlign w:val="bottom"/>
            <w:tcBorders>
              <w:bottom w:val="single" w:sz="8" w:color="0000EE"/>
            </w:tcBorders>
            <w:gridSpan w:val="7"/>
          </w:tcPr>
          <w:p>
            <w:pPr>
              <w:spacing w:after="0"/>
              <w:rPr>
                <w:rFonts w:ascii="Arial" w:cs="Arial" w:eastAsia="Arial" w:hAnsi="Arial"/>
                <w:sz w:val="18"/>
                <w:szCs w:val="18"/>
                <w:b w:val="1"/>
                <w:bCs w:val="1"/>
                <w:color w:val="0000EE"/>
                <w:w w:val="89"/>
              </w:rPr>
            </w:pPr>
            <w:hyperlink w:anchor="page36">
              <w:r>
                <w:rPr>
                  <w:rFonts w:ascii="Arial" w:cs="Arial" w:eastAsia="Arial" w:hAnsi="Arial"/>
                  <w:sz w:val="18"/>
                  <w:szCs w:val="18"/>
                  <w:b w:val="1"/>
                  <w:bCs w:val="1"/>
                  <w:color w:val="0000EE"/>
                  <w:w w:val="89"/>
                </w:rPr>
                <w:t>Defaults Upon Senior Securities</w:t>
              </w:r>
            </w:hyperlink>
          </w:p>
        </w:tc>
        <w:tc>
          <w:tcPr>
            <w:tcW w:w="328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6">
              <w:r>
                <w:rPr>
                  <w:rFonts w:ascii="Arial" w:cs="Arial" w:eastAsia="Arial" w:hAnsi="Arial"/>
                  <w:sz w:val="18"/>
                  <w:szCs w:val="18"/>
                  <w:b w:val="1"/>
                  <w:bCs w:val="1"/>
                  <w:color w:val="0000EE"/>
                  <w:w w:val="91"/>
                </w:rPr>
                <w:t>Item 4.</w:t>
              </w:r>
            </w:hyperlink>
          </w:p>
        </w:tc>
        <w:tc>
          <w:tcPr>
            <w:tcW w:w="460" w:type="dxa"/>
            <w:vAlign w:val="bottom"/>
            <w:gridSpan w:val="2"/>
          </w:tcPr>
          <w:p>
            <w:pPr>
              <w:spacing w:after="0"/>
              <w:rPr>
                <w:sz w:val="24"/>
                <w:szCs w:val="24"/>
                <w:color w:val="auto"/>
              </w:rPr>
            </w:pPr>
          </w:p>
        </w:tc>
        <w:tc>
          <w:tcPr>
            <w:tcW w:w="5740" w:type="dxa"/>
            <w:vAlign w:val="bottom"/>
            <w:gridSpan w:val="9"/>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Mine Safety Disclosures</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1"/>
              </w:rPr>
            </w:pPr>
            <w:hyperlink w:anchor="page36">
              <w:r>
                <w:rPr>
                  <w:rFonts w:ascii="Arial" w:cs="Arial" w:eastAsia="Arial" w:hAnsi="Arial"/>
                  <w:sz w:val="18"/>
                  <w:szCs w:val="18"/>
                  <w:b w:val="1"/>
                  <w:bCs w:val="1"/>
                  <w:color w:val="0000EE"/>
                  <w:w w:val="91"/>
                </w:rPr>
                <w:t>Item 5.</w:t>
              </w:r>
            </w:hyperlink>
          </w:p>
        </w:tc>
        <w:tc>
          <w:tcPr>
            <w:tcW w:w="460" w:type="dxa"/>
            <w:vAlign w:val="bottom"/>
            <w:gridSpan w:val="2"/>
          </w:tcPr>
          <w:p>
            <w:pPr>
              <w:spacing w:after="0"/>
              <w:rPr>
                <w:sz w:val="24"/>
                <w:szCs w:val="24"/>
                <w:color w:val="auto"/>
              </w:rPr>
            </w:pP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4"/>
              </w:rPr>
            </w:pPr>
            <w:hyperlink w:anchor="page36">
              <w:r>
                <w:rPr>
                  <w:rFonts w:ascii="Arial" w:cs="Arial" w:eastAsia="Arial" w:hAnsi="Arial"/>
                  <w:sz w:val="18"/>
                  <w:szCs w:val="18"/>
                  <w:b w:val="1"/>
                  <w:bCs w:val="1"/>
                  <w:color w:val="0000EE"/>
                  <w:w w:val="94"/>
                </w:rPr>
                <w:t>Other Information</w:t>
              </w:r>
            </w:hyperlink>
          </w:p>
        </w:tc>
        <w:tc>
          <w:tcPr>
            <w:tcW w:w="380" w:type="dxa"/>
            <w:vAlign w:val="bottom"/>
            <w:tcBorders>
              <w:top w:val="single" w:sz="8" w:color="0000EE"/>
            </w:tcBorders>
          </w:tcPr>
          <w:p>
            <w:pPr>
              <w:spacing w:after="0"/>
              <w:rPr>
                <w:sz w:val="24"/>
                <w:szCs w:val="24"/>
                <w:color w:val="auto"/>
              </w:rPr>
            </w:pPr>
          </w:p>
        </w:tc>
        <w:tc>
          <w:tcPr>
            <w:tcW w:w="390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6">
              <w:r>
                <w:rPr>
                  <w:rFonts w:ascii="Arial" w:cs="Arial" w:eastAsia="Arial" w:hAnsi="Arial"/>
                  <w:sz w:val="18"/>
                  <w:szCs w:val="18"/>
                  <w:b w:val="1"/>
                  <w:bCs w:val="1"/>
                  <w:color w:val="0000EE"/>
                  <w:w w:val="91"/>
                </w:rPr>
                <w:t>Item 6.</w:t>
              </w:r>
            </w:hyperlink>
          </w:p>
        </w:tc>
        <w:tc>
          <w:tcPr>
            <w:tcW w:w="460" w:type="dxa"/>
            <w:vAlign w:val="bottom"/>
            <w:gridSpan w:val="2"/>
          </w:tcPr>
          <w:p>
            <w:pPr>
              <w:spacing w:after="0"/>
              <w:rPr>
                <w:sz w:val="24"/>
                <w:szCs w:val="24"/>
                <w:color w:val="auto"/>
              </w:rPr>
            </w:pPr>
          </w:p>
        </w:tc>
        <w:tc>
          <w:tcPr>
            <w:tcW w:w="5740" w:type="dxa"/>
            <w:vAlign w:val="bottom"/>
            <w:gridSpan w:val="9"/>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Exhibits</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sz w:val="24"/>
                <w:szCs w:val="24"/>
                <w:color w:val="auto"/>
              </w:rPr>
            </w:pPr>
          </w:p>
        </w:tc>
        <w:tc>
          <w:tcPr>
            <w:tcW w:w="3940" w:type="dxa"/>
            <w:vAlign w:val="bottom"/>
            <w:gridSpan w:val="6"/>
          </w:tcPr>
          <w:p>
            <w:pPr>
              <w:jc w:val="right"/>
              <w:ind w:right="82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gridSpan w:val="2"/>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0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00" w:type="dxa"/>
            <w:vAlign w:val="bottom"/>
            <w:gridSpan w:val="3"/>
          </w:tcPr>
          <w:p>
            <w:pPr>
              <w:jc w:val="center"/>
              <w:ind w:right="140"/>
              <w:spacing w:after="0"/>
              <w:rPr>
                <w:sz w:val="20"/>
                <w:szCs w:val="20"/>
                <w:color w:val="auto"/>
              </w:rPr>
            </w:pPr>
            <w:r>
              <w:rPr>
                <w:rFonts w:ascii="Arial" w:cs="Arial" w:eastAsia="Arial" w:hAnsi="Arial"/>
                <w:sz w:val="18"/>
                <w:szCs w:val="18"/>
                <w:color w:val="auto"/>
                <w:w w:val="97"/>
              </w:rPr>
              <w:t>PART 1- FINANCIAL INFORMATION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16"/>
          </w:tcPr>
          <w:p>
            <w:pPr>
              <w:spacing w:after="0"/>
              <w:rPr>
                <w:sz w:val="20"/>
                <w:szCs w:val="20"/>
                <w:color w:val="auto"/>
              </w:rPr>
            </w:pPr>
            <w:r>
              <w:rPr>
                <w:rFonts w:ascii="Arial" w:cs="Arial" w:eastAsia="Arial" w:hAnsi="Arial"/>
                <w:sz w:val="18"/>
                <w:szCs w:val="18"/>
                <w:color w:val="auto"/>
              </w:rPr>
              <w:t>Item 1. Financial Statements (Unaudited)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740" w:type="dxa"/>
            <w:vAlign w:val="bottom"/>
            <w:gridSpan w:val="16"/>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40" w:type="dxa"/>
            <w:vAlign w:val="bottom"/>
            <w:gridSpan w:val="16"/>
          </w:tcPr>
          <w:p>
            <w:pPr>
              <w:spacing w:after="0"/>
              <w:rPr>
                <w:sz w:val="20"/>
                <w:szCs w:val="20"/>
                <w:color w:val="auto"/>
              </w:rPr>
            </w:pPr>
            <w:r>
              <w:rPr>
                <w:rFonts w:ascii="Arial" w:cs="Arial" w:eastAsia="Arial" w:hAnsi="Arial"/>
                <w:sz w:val="18"/>
                <w:szCs w:val="18"/>
                <w:b w:val="1"/>
                <w:bCs w:val="1"/>
                <w:color w:val="auto"/>
              </w:rPr>
              <w:t>CONSOLIDATED BALANCE SHEETS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16"/>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December 31, 2012</w:t>
            </w:r>
          </w:p>
        </w:tc>
        <w:tc>
          <w:tcPr>
            <w:tcW w:w="18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CCEEFF"/>
            </w:tcBorders>
            <w:gridSpan w:val="4"/>
            <w:shd w:val="clear" w:color="auto" w:fill="CCEEFF"/>
          </w:tcPr>
          <w:p>
            <w:pPr>
              <w:jc w:val="center"/>
              <w:ind w:right="3180"/>
              <w:spacing w:after="0" w:line="196" w:lineRule="exact"/>
              <w:rPr>
                <w:sz w:val="20"/>
                <w:szCs w:val="20"/>
                <w:color w:val="auto"/>
              </w:rPr>
            </w:pPr>
            <w:r>
              <w:rPr>
                <w:rFonts w:ascii="Arial" w:cs="Arial" w:eastAsia="Arial" w:hAnsi="Arial"/>
                <w:sz w:val="18"/>
                <w:szCs w:val="18"/>
                <w:color w:val="auto"/>
                <w:w w:val="85"/>
              </w:rPr>
              <w:t>Assets</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6"/>
          </w:tcPr>
          <w:p>
            <w:pPr>
              <w:spacing w:after="0"/>
              <w:rPr>
                <w:sz w:val="20"/>
                <w:szCs w:val="20"/>
                <w:color w:val="auto"/>
              </w:rPr>
            </w:pPr>
            <w:r>
              <w:rPr>
                <w:rFonts w:ascii="Arial" w:cs="Arial" w:eastAsia="Arial" w:hAnsi="Arial"/>
                <w:sz w:val="18"/>
                <w:szCs w:val="18"/>
                <w:color w:val="auto"/>
                <w:w w:val="95"/>
              </w:rPr>
              <w:t>Cash and due from banks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3,284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124,328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gridSpan w:val="15"/>
          </w:tcPr>
          <w:p>
            <w:pPr>
              <w:ind w:left="520"/>
              <w:spacing w:after="0"/>
              <w:rPr>
                <w:sz w:val="20"/>
                <w:szCs w:val="20"/>
                <w:color w:val="auto"/>
              </w:rPr>
            </w:pPr>
            <w:r>
              <w:rPr>
                <w:rFonts w:ascii="Arial" w:cs="Arial" w:eastAsia="Arial" w:hAnsi="Arial"/>
                <w:sz w:val="18"/>
                <w:szCs w:val="18"/>
                <w:color w:val="auto"/>
              </w:rPr>
              <w:t>Total cash and cash equivalents</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127,612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15"/>
          </w:tcPr>
          <w:p>
            <w:pPr>
              <w:spacing w:after="0"/>
              <w:rPr>
                <w:sz w:val="20"/>
                <w:szCs w:val="20"/>
                <w:color w:val="auto"/>
              </w:rPr>
            </w:pPr>
            <w:r>
              <w:rPr>
                <w:rFonts w:ascii="Arial" w:cs="Arial" w:eastAsia="Arial" w:hAnsi="Arial"/>
                <w:sz w:val="18"/>
                <w:szCs w:val="18"/>
                <w:color w:val="auto"/>
              </w:rPr>
              <w:t>Available-for-sale securities, at fair value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133,363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392,583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tcPr>
          <w:p>
            <w:pPr>
              <w:spacing w:after="0"/>
              <w:rPr>
                <w:sz w:val="20"/>
                <w:szCs w:val="20"/>
                <w:color w:val="auto"/>
              </w:rPr>
            </w:pPr>
            <w:r>
              <w:rPr>
                <w:rFonts w:ascii="Arial" w:cs="Arial" w:eastAsia="Arial" w:hAnsi="Arial"/>
                <w:sz w:val="18"/>
                <w:szCs w:val="18"/>
                <w:color w:val="auto"/>
              </w:rPr>
              <w:t>Less: Allowance for loan losses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CCEEFF"/>
            </w:tcBorders>
            <w:gridSpan w:val="6"/>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391,708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355,430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10,434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6"/>
          </w:tcPr>
          <w:p>
            <w:pPr>
              <w:spacing w:after="0"/>
              <w:rPr>
                <w:sz w:val="20"/>
                <w:szCs w:val="20"/>
                <w:color w:val="auto"/>
              </w:rPr>
            </w:pPr>
            <w:r>
              <w:rPr>
                <w:rFonts w:ascii="Arial" w:cs="Arial" w:eastAsia="Arial" w:hAnsi="Arial"/>
                <w:sz w:val="18"/>
                <w:szCs w:val="18"/>
                <w:color w:val="auto"/>
                <w:w w:val="88"/>
              </w:rPr>
              <w:t>Repossessed collateral, net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2,633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0"/>
              </w:rPr>
              <w:t>Accrued interest receivable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tcPr>
          <w:p>
            <w:pPr>
              <w:spacing w:after="0"/>
              <w:rPr>
                <w:sz w:val="20"/>
                <w:szCs w:val="20"/>
                <w:color w:val="auto"/>
              </w:rPr>
            </w:pPr>
            <w:r>
              <w:rPr>
                <w:rFonts w:ascii="Arial" w:cs="Arial" w:eastAsia="Arial" w:hAnsi="Arial"/>
                <w:sz w:val="18"/>
                <w:szCs w:val="18"/>
                <w:color w:val="auto"/>
              </w:rPr>
              <w:t>Federal Home Loan Bank stock, at cost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4,602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Federal Reserve Bank stock, at cost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6"/>
          </w:tcPr>
          <w:p>
            <w:pPr>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3,957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3"/>
              </w:rPr>
              <w:t>Bank owned life insurance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14,148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4"/>
              </w:rPr>
              <w:t>Other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5,052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CCEEFF"/>
              <w:bottom w:val="single" w:sz="8" w:color="CCEEFF"/>
            </w:tcBorders>
            <w:gridSpan w:val="6"/>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100" w:type="dxa"/>
            <w:vAlign w:val="bottom"/>
            <w:gridSpan w:val="7"/>
            <w:shd w:val="clear" w:color="auto" w:fill="CCEEFF"/>
          </w:tcPr>
          <w:p>
            <w:pPr>
              <w:jc w:val="center"/>
              <w:ind w:right="2380"/>
              <w:spacing w:after="0"/>
              <w:rPr>
                <w:sz w:val="20"/>
                <w:szCs w:val="20"/>
                <w:color w:val="auto"/>
              </w:rPr>
            </w:pPr>
            <w:r>
              <w:rPr>
                <w:rFonts w:ascii="Arial" w:cs="Arial" w:eastAsia="Arial" w:hAnsi="Arial"/>
                <w:sz w:val="18"/>
                <w:szCs w:val="18"/>
                <w:color w:val="auto"/>
                <w:w w:val="93"/>
              </w:rPr>
              <w:t>Liabilities and Stockholders’ Equity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tcPr>
          <w:p>
            <w:pPr>
              <w:ind w:left="340"/>
              <w:spacing w:after="0"/>
              <w:rPr>
                <w:sz w:val="20"/>
                <w:szCs w:val="20"/>
                <w:color w:val="auto"/>
              </w:rPr>
            </w:pPr>
            <w:r>
              <w:rPr>
                <w:rFonts w:ascii="Arial" w:cs="Arial" w:eastAsia="Arial" w:hAnsi="Arial"/>
                <w:sz w:val="18"/>
                <w:szCs w:val="18"/>
                <w:color w:val="auto"/>
                <w:w w:val="91"/>
              </w:rPr>
              <w:t>Demand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48,136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shd w:val="clear" w:color="auto" w:fill="CCEEFF"/>
          </w:tcPr>
          <w:p>
            <w:pPr>
              <w:ind w:left="340"/>
              <w:spacing w:after="0"/>
              <w:rPr>
                <w:sz w:val="20"/>
                <w:szCs w:val="20"/>
                <w:color w:val="auto"/>
              </w:rPr>
            </w:pPr>
            <w:r>
              <w:rPr>
                <w:rFonts w:ascii="Arial" w:cs="Arial" w:eastAsia="Arial" w:hAnsi="Arial"/>
                <w:sz w:val="18"/>
                <w:szCs w:val="18"/>
                <w:color w:val="auto"/>
              </w:rPr>
              <w:t>Savings and interest checking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86,231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6"/>
          </w:tcPr>
          <w:p>
            <w:pPr>
              <w:ind w:left="340"/>
              <w:spacing w:after="0"/>
              <w:rPr>
                <w:sz w:val="20"/>
                <w:szCs w:val="20"/>
                <w:color w:val="auto"/>
              </w:rPr>
            </w:pPr>
            <w:r>
              <w:rPr>
                <w:rFonts w:ascii="Arial" w:cs="Arial" w:eastAsia="Arial" w:hAnsi="Arial"/>
                <w:sz w:val="18"/>
                <w:szCs w:val="18"/>
                <w:color w:val="auto"/>
              </w:rPr>
              <w:t>Money market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58,351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308,800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6"/>
          </w:tcPr>
          <w:p>
            <w:pPr>
              <w:ind w:left="520"/>
              <w:spacing w:after="0"/>
              <w:rPr>
                <w:sz w:val="20"/>
                <w:szCs w:val="20"/>
                <w:color w:val="auto"/>
              </w:rPr>
            </w:pPr>
            <w:r>
              <w:rPr>
                <w:rFonts w:ascii="Arial" w:cs="Arial" w:eastAsia="Arial" w:hAnsi="Arial"/>
                <w:sz w:val="18"/>
                <w:szCs w:val="18"/>
                <w:color w:val="auto"/>
              </w:rPr>
              <w:t>Total deposits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501,518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tcPr>
          <w:p>
            <w:pPr>
              <w:ind w:left="160"/>
              <w:spacing w:after="0"/>
              <w:rPr>
                <w:sz w:val="20"/>
                <w:szCs w:val="20"/>
                <w:color w:val="auto"/>
              </w:rPr>
            </w:pPr>
            <w:r>
              <w:rPr>
                <w:rFonts w:ascii="Arial" w:cs="Arial" w:eastAsia="Arial" w:hAnsi="Arial"/>
                <w:sz w:val="18"/>
                <w:szCs w:val="18"/>
                <w:color w:val="auto"/>
              </w:rPr>
              <w:t>Federal Home Loan Bank advances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43,213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shd w:val="clear" w:color="auto" w:fill="CCEEFF"/>
          </w:tcPr>
          <w:p>
            <w:pPr>
              <w:ind w:left="160"/>
              <w:spacing w:after="0"/>
              <w:rPr>
                <w:sz w:val="20"/>
                <w:szCs w:val="20"/>
                <w:color w:val="auto"/>
              </w:rPr>
            </w:pPr>
            <w:r>
              <w:rPr>
                <w:rFonts w:ascii="Arial" w:cs="Arial" w:eastAsia="Arial" w:hAnsi="Arial"/>
                <w:sz w:val="18"/>
                <w:szCs w:val="18"/>
                <w:color w:val="auto"/>
              </w:rPr>
              <w:t>Structured repurchase agreements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25,637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6"/>
          </w:tcPr>
          <w:p>
            <w:pPr>
              <w:ind w:left="160"/>
              <w:spacing w:after="0"/>
              <w:rPr>
                <w:sz w:val="20"/>
                <w:szCs w:val="20"/>
                <w:color w:val="auto"/>
              </w:rPr>
            </w:pPr>
            <w:r>
              <w:rPr>
                <w:rFonts w:ascii="Arial" w:cs="Arial" w:eastAsia="Arial" w:hAnsi="Arial"/>
                <w:sz w:val="18"/>
                <w:szCs w:val="18"/>
                <w:color w:val="auto"/>
              </w:rPr>
              <w:t>Short-term borrowings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1,570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980" w:type="dxa"/>
            <w:vAlign w:val="bottom"/>
            <w:tcBorders>
              <w:bottom w:val="single" w:sz="8" w:color="CCEEFF"/>
            </w:tcBorders>
            <w:gridSpan w:val="6"/>
          </w:tcPr>
          <w:p>
            <w:pPr>
              <w:ind w:left="160"/>
              <w:spacing w:after="0"/>
              <w:rPr>
                <w:sz w:val="20"/>
                <w:szCs w:val="20"/>
                <w:color w:val="auto"/>
              </w:rPr>
            </w:pPr>
            <w:r>
              <w:rPr>
                <w:rFonts w:ascii="Arial" w:cs="Arial" w:eastAsia="Arial" w:hAnsi="Arial"/>
                <w:sz w:val="18"/>
                <w:szCs w:val="18"/>
                <w:color w:val="auto"/>
                <w:w w:val="96"/>
              </w:rPr>
              <w:t>Capital lease obligation</w:t>
            </w:r>
          </w:p>
        </w:tc>
        <w:tc>
          <w:tcPr>
            <w:tcW w:w="4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1,827</w:t>
            </w:r>
          </w:p>
        </w:tc>
        <w:tc>
          <w:tcPr>
            <w:tcW w:w="1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1,911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-6880860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-6880860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7" w:right="199" w:bottom="0" w:gutter="0" w:footer="0" w:header="0"/>
        </w:sectPr>
      </w:pPr>
    </w:p>
    <w:bookmarkStart w:id="2" w:name="page3"/>
    <w:bookmarkEnd w:id="2"/>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7,828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589,779</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$1.00 par value, 1,000,000 shares authorized; no shares issued and outstanding at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December 31, 2012; 4,227 shares issued and outstanding at June 30, 2012; liquidation preference of</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$1,000 per share</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ind w:left="160"/>
              <w:spacing w:after="0" w:line="201" w:lineRule="exact"/>
              <w:rPr>
                <w:sz w:val="20"/>
                <w:szCs w:val="20"/>
                <w:color w:val="auto"/>
              </w:rPr>
            </w:pPr>
            <w:r>
              <w:rPr>
                <w:rFonts w:ascii="Arial" w:cs="Arial" w:eastAsia="Arial" w:hAnsi="Arial"/>
                <w:sz w:val="18"/>
                <w:szCs w:val="18"/>
                <w:color w:val="auto"/>
                <w:w w:val="91"/>
              </w:rPr>
              <w:t>Voting common stock, $1.00 par value, 25,000,000 and 13,500,000 shares authorized at December 31, 2012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w w:val="92"/>
              </w:rPr>
              <w:t>and June 30, 2012, respectively; 9,467,372 and 9,307,127 issued and outstanding at December 31, 2012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and June 30, 2012, respectively</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9,467</w:t>
            </w: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9,307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Non-voting common stock, $1.00 par value, 3,000,000 and 1,500,000 shares authorized at December 31,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2012 and June 30, 2012, respectively; 916,069 and 1,076,314 issued and outstanding at December 31,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2012 and June 30, 2012, respectively</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916</w:t>
            </w: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92,570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Unearned restricted stock</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12,534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114,931</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704,710</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669,196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and dividend income: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Interest on loans</w:t>
            </w:r>
          </w:p>
        </w:tc>
        <w:tc>
          <w:tcPr>
            <w:tcW w:w="11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8,267</w:t>
            </w:r>
          </w:p>
        </w:tc>
        <w:tc>
          <w:tcPr>
            <w:tcW w:w="3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5,874</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15,608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and dividend income</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8,724</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1,028</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2,006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Structured repurchase agreements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191</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1,667</w:t>
            </w:r>
          </w:p>
        </w:tc>
        <w:tc>
          <w:tcPr>
            <w:tcW w:w="3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1,556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Net interest and dividend income before provision for loan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7,057</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4,916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13,155</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Net interest and dividend income after provision for loan losses</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6,810</w:t>
            </w:r>
          </w:p>
        </w:tc>
        <w:tc>
          <w:tcPr>
            <w:tcW w:w="3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4,782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Net securities gains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loans held for sale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914</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Gain on sales of portfolio loans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recognized on repossessed collateral,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Investment commissions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799</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1,474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income</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3,544</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2,692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4,413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3,729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8,470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399</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822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252</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122</w:t>
            </w:r>
          </w:p>
        </w:tc>
        <w:tc>
          <w:tcPr>
            <w:tcW w:w="96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bl>
    <w:p>
      <w:pPr>
        <w:sectPr>
          <w:pgSz w:w="11900" w:h="16925"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771</w:t>
            </w: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1,425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15,635</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Income (loss) from continuing operations before income tax</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 (benefit)</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3,739</w:t>
            </w:r>
          </w:p>
        </w:tc>
        <w:tc>
          <w:tcPr>
            <w:tcW w:w="3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705</w:t>
            </w: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1,189</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6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discontinued operations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from discontinued operations</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3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2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Net income available to common stockholders</w:t>
            </w: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1,259</w:t>
            </w: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2,195</w:t>
            </w: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10,383,441</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3,494,498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10,383,441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3,494,498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10,383,441</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3,511,994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10,383,441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6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0.12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3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shd w:val="clear" w:color="auto" w:fill="CCEEFF"/>
          </w:tcPr>
          <w:p>
            <w:pPr>
              <w:ind w:left="160"/>
              <w:spacing w:after="0" w:line="170"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6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0.12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3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dividends declared per common share</w:t>
            </w: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before tax:</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Change in net unrealized gain or loss on available-for-sale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w:t>
            </w:r>
          </w:p>
        </w:tc>
        <w:tc>
          <w:tcPr>
            <w:tcW w:w="10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340"/>
              <w:spacing w:after="0" w:line="201" w:lineRule="exact"/>
              <w:rPr>
                <w:sz w:val="20"/>
                <w:szCs w:val="20"/>
                <w:color w:val="auto"/>
              </w:rPr>
            </w:pPr>
            <w:r>
              <w:rPr>
                <w:rFonts w:ascii="Arial" w:cs="Arial" w:eastAsia="Arial" w:hAnsi="Arial"/>
                <w:sz w:val="18"/>
                <w:szCs w:val="18"/>
                <w:color w:val="auto"/>
                <w:w w:val="99"/>
              </w:rPr>
              <w:t>Reclassification adjustment for net gains included in net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520"/>
              <w:spacing w:after="0"/>
              <w:rPr>
                <w:sz w:val="20"/>
                <w:szCs w:val="20"/>
                <w:color w:val="auto"/>
              </w:rPr>
            </w:pPr>
            <w:r>
              <w:rPr>
                <w:rFonts w:ascii="Arial" w:cs="Arial" w:eastAsia="Arial" w:hAnsi="Arial"/>
                <w:sz w:val="18"/>
                <w:szCs w:val="18"/>
                <w:color w:val="auto"/>
              </w:rPr>
              <w:t>income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(706)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Derivatives and hedging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Change in accumulated loss on effective cash flow hedges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340"/>
              <w:spacing w:after="0" w:line="201" w:lineRule="exact"/>
              <w:rPr>
                <w:sz w:val="20"/>
                <w:szCs w:val="20"/>
                <w:color w:val="auto"/>
              </w:rPr>
            </w:pPr>
            <w:r>
              <w:rPr>
                <w:rFonts w:ascii="Arial" w:cs="Arial" w:eastAsia="Arial" w:hAnsi="Arial"/>
                <w:sz w:val="18"/>
                <w:szCs w:val="18"/>
                <w:color w:val="auto"/>
                <w:w w:val="97"/>
              </w:rPr>
              <w:t>Reclassification adjustments for net gains included in net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520"/>
              <w:spacing w:after="0"/>
              <w:rPr>
                <w:sz w:val="20"/>
                <w:szCs w:val="20"/>
                <w:color w:val="auto"/>
              </w:rPr>
            </w:pPr>
            <w:r>
              <w:rPr>
                <w:rFonts w:ascii="Arial" w:cs="Arial" w:eastAsia="Arial" w:hAnsi="Arial"/>
                <w:sz w:val="18"/>
                <w:szCs w:val="18"/>
                <w:color w:val="auto"/>
              </w:rPr>
              <w:t>income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Total other comprehensive (loss) income , before tax</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(672)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Income tax (benefit) expense related to other comprehensive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income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10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(443)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1,339</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ectPr>
          <w:pgSz w:w="11900" w:h="16838" w:orient="portrait"/>
          <w:cols w:equalWidth="0" w:num="1">
            <w:col w:w="11420"/>
          </w:cols>
          <w:pgMar w:left="240" w:top="140"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Unearned</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vMerge w:val="restart"/>
          </w:tcPr>
          <w:p>
            <w:pPr>
              <w:jc w:val="right"/>
              <w:ind w:right="46"/>
              <w:spacing w:after="0"/>
              <w:rPr>
                <w:sz w:val="20"/>
                <w:szCs w:val="20"/>
                <w:color w:val="auto"/>
              </w:rPr>
            </w:pPr>
            <w:r>
              <w:rPr>
                <w:rFonts w:ascii="Arial" w:cs="Arial" w:eastAsia="Arial" w:hAnsi="Arial"/>
                <w:sz w:val="14"/>
                <w:szCs w:val="14"/>
                <w:b w:val="1"/>
                <w:bCs w:val="1"/>
                <w:color w:val="auto"/>
              </w:rPr>
              <w:t>Non-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gridSpan w:val="6"/>
            <w:vMerge w:val="restart"/>
          </w:tcPr>
          <w:p>
            <w:pPr>
              <w:jc w:val="right"/>
              <w:ind w:right="180"/>
              <w:spacing w:after="0"/>
              <w:rPr>
                <w:sz w:val="20"/>
                <w:szCs w:val="20"/>
                <w:color w:val="auto"/>
              </w:rPr>
            </w:pPr>
            <w:r>
              <w:rPr>
                <w:rFonts w:ascii="Arial" w:cs="Arial" w:eastAsia="Arial" w:hAnsi="Arial"/>
                <w:sz w:val="14"/>
                <w:szCs w:val="14"/>
                <w:b w:val="1"/>
                <w:bCs w:val="1"/>
                <w:color w:val="auto"/>
                <w:w w:val="99"/>
              </w:rPr>
              <w:t>Preferred Stock</w:t>
            </w:r>
          </w:p>
        </w:tc>
        <w:tc>
          <w:tcPr>
            <w:tcW w:w="154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3"/>
              </w:rPr>
              <w:t>Voting Common Stock</w:t>
            </w:r>
          </w:p>
        </w:tc>
        <w:tc>
          <w:tcPr>
            <w:tcW w:w="102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to Purchase</w:t>
            </w:r>
          </w:p>
        </w:tc>
        <w:tc>
          <w:tcPr>
            <w:tcW w:w="20" w:type="dxa"/>
            <w:vAlign w:val="bottom"/>
          </w:tcPr>
          <w:p>
            <w:pPr>
              <w:spacing w:after="0"/>
              <w:rPr>
                <w:sz w:val="9"/>
                <w:szCs w:val="9"/>
                <w:color w:val="auto"/>
              </w:rPr>
            </w:pPr>
          </w:p>
        </w:tc>
        <w:tc>
          <w:tcPr>
            <w:tcW w:w="4220" w:type="dxa"/>
            <w:vAlign w:val="bottom"/>
            <w:gridSpan w:val="19"/>
            <w:vMerge w:val="restart"/>
          </w:tcPr>
          <w:p>
            <w:pPr>
              <w:jc w:val="right"/>
              <w:ind w:right="80"/>
              <w:spacing w:after="0"/>
              <w:rPr>
                <w:sz w:val="20"/>
                <w:szCs w:val="20"/>
                <w:color w:val="auto"/>
              </w:rPr>
            </w:pPr>
            <w:r>
              <w:rPr>
                <w:rFonts w:ascii="Arial" w:cs="Arial" w:eastAsia="Arial" w:hAnsi="Arial"/>
                <w:sz w:val="14"/>
                <w:szCs w:val="14"/>
                <w:b w:val="1"/>
                <w:bCs w:val="1"/>
                <w:color w:val="auto"/>
                <w:w w:val="97"/>
              </w:rPr>
              <w:t>Additional  Restricted  Retained  Comprehensive Stockholders’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6"/>
            <w:vMerge w:val="continue"/>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580" w:type="dxa"/>
            <w:vAlign w:val="bottom"/>
            <w:gridSpan w:val="5"/>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voting Common Stock</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gridSpan w:val="19"/>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rPr>
              <w:t>Paid-</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9"/>
                <w:szCs w:val="9"/>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Common Stock</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9"/>
                <w:szCs w:val="9"/>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 at June 30,</w:t>
            </w: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5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4,227</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3,312,173</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3,312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195,351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49,700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$ 11,726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net of tax</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w w:val="96"/>
              </w:rPr>
              <w:t>Dividends on preferred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stock</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Dividends on common</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at $0.18 per</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rPr>
              <w:t>Stock-based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compensation</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Accretion of preferred</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Balance at</w:t>
            </w: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4,227</w:t>
            </w:r>
          </w:p>
        </w:tc>
        <w:tc>
          <w:tcPr>
            <w:tcW w:w="4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7"/>
              </w:rPr>
              <w:t>3,312,173</w:t>
            </w: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8"/>
              </w:rPr>
              <w:t>3,312</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195,351</w:t>
            </w: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195</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406</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49,982</w:t>
            </w:r>
          </w:p>
        </w:tc>
        <w:tc>
          <w:tcPr>
            <w:tcW w:w="14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5"/>
            <w:vMerge w:val="restart"/>
          </w:tcPr>
          <w:p>
            <w:pPr>
              <w:jc w:val="right"/>
              <w:spacing w:after="0"/>
              <w:rPr>
                <w:sz w:val="20"/>
                <w:szCs w:val="20"/>
                <w:color w:val="auto"/>
              </w:rPr>
            </w:pPr>
            <w:r>
              <w:rPr>
                <w:rFonts w:ascii="Arial" w:cs="Arial" w:eastAsia="Arial" w:hAnsi="Arial"/>
                <w:sz w:val="18"/>
                <w:szCs w:val="18"/>
                <w:color w:val="auto"/>
              </w:rPr>
              <w:t>(145) $ 11,846</w:t>
            </w:r>
          </w:p>
        </w:tc>
        <w:tc>
          <w:tcPr>
            <w:tcW w:w="80" w:type="dxa"/>
            <w:vAlign w:val="bottom"/>
          </w:tcPr>
          <w:p>
            <w:pPr>
              <w:spacing w:after="0"/>
              <w:rPr>
                <w:sz w:val="15"/>
                <w:szCs w:val="15"/>
                <w:color w:val="auto"/>
              </w:rPr>
            </w:pPr>
          </w:p>
        </w:tc>
        <w:tc>
          <w:tcPr>
            <w:tcW w:w="240" w:type="dxa"/>
            <w:vAlign w:val="bottom"/>
            <w:vMerge w:val="restart"/>
          </w:tcPr>
          <w:p>
            <w:pPr>
              <w:jc w:val="right"/>
              <w:ind w:right="56"/>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5"/>
                <w:szCs w:val="15"/>
                <w:color w:val="auto"/>
              </w:rPr>
            </w:pP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300</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65,900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December 31, 2011</w:t>
            </w:r>
          </w:p>
        </w:tc>
        <w:tc>
          <w:tcPr>
            <w:tcW w:w="580" w:type="dxa"/>
            <w:vAlign w:val="bottom"/>
            <w:gridSpan w:val="2"/>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560" w:type="dxa"/>
            <w:vAlign w:val="bottom"/>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140" w:type="dxa"/>
            <w:vAlign w:val="bottom"/>
            <w:gridSpan w:val="2"/>
            <w:vMerge w:val="continue"/>
          </w:tcPr>
          <w:p>
            <w:pPr>
              <w:spacing w:after="0"/>
              <w:rPr>
                <w:sz w:val="22"/>
                <w:szCs w:val="22"/>
                <w:color w:val="auto"/>
              </w:rPr>
            </w:pPr>
          </w:p>
        </w:tc>
        <w:tc>
          <w:tcPr>
            <w:tcW w:w="1220" w:type="dxa"/>
            <w:vAlign w:val="bottom"/>
            <w:gridSpan w:val="5"/>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3"/>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rPr>
              <w:t>Balance at June 30,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2012</w:t>
            </w:r>
          </w:p>
        </w:tc>
        <w:tc>
          <w:tcPr>
            <w:tcW w:w="5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4,227</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9,307,127</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w w:val="93"/>
              </w:rPr>
              <w:t>9,307 1,076,314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96,080</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(127)</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$ 12,235</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119,139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loss, net of tax</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(605)</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Conversion of non-</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voting common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to voting</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160,245</w:t>
            </w:r>
          </w:p>
        </w:tc>
        <w:tc>
          <w:tcPr>
            <w:tcW w:w="2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(160,245)</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w w:val="96"/>
              </w:rPr>
              <w:t>Dividends on preferred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stock</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Dividends on common</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at $0.18 per</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(1,870)</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Offering costs</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rPr>
              <w:t>Redemption of</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preferred stock and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warrants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(4,227)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Accretion of preferred</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Balance at</w:t>
            </w: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w:t>
            </w:r>
          </w:p>
        </w:tc>
        <w:tc>
          <w:tcPr>
            <w:tcW w:w="4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7"/>
              </w:rPr>
              <w:t>9,467,372</w:t>
            </w: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8"/>
              </w:rPr>
              <w:t>9,467</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916,069</w:t>
            </w: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5"/>
                <w:szCs w:val="15"/>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92,570</w:t>
            </w:r>
          </w:p>
        </w:tc>
        <w:tc>
          <w:tcPr>
            <w:tcW w:w="14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gridSpan w:val="6"/>
            <w:vMerge w:val="restart"/>
          </w:tcPr>
          <w:p>
            <w:pPr>
              <w:jc w:val="right"/>
              <w:ind w:right="80"/>
              <w:spacing w:after="0"/>
              <w:rPr>
                <w:sz w:val="20"/>
                <w:szCs w:val="20"/>
                <w:color w:val="auto"/>
              </w:rPr>
            </w:pPr>
            <w:r>
              <w:rPr>
                <w:rFonts w:ascii="Arial" w:cs="Arial" w:eastAsia="Arial" w:hAnsi="Arial"/>
                <w:sz w:val="18"/>
                <w:szCs w:val="18"/>
                <w:color w:val="auto"/>
              </w:rPr>
              <w:t>(109) $ 12,534</w:t>
            </w:r>
          </w:p>
        </w:tc>
        <w:tc>
          <w:tcPr>
            <w:tcW w:w="240" w:type="dxa"/>
            <w:vAlign w:val="bottom"/>
            <w:vMerge w:val="restart"/>
          </w:tcPr>
          <w:p>
            <w:pPr>
              <w:jc w:val="right"/>
              <w:ind w:right="56"/>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5"/>
                <w:szCs w:val="15"/>
                <w:color w:val="auto"/>
              </w:rPr>
            </w:pPr>
          </w:p>
        </w:tc>
        <w:tc>
          <w:tcPr>
            <w:tcW w:w="900" w:type="dxa"/>
            <w:vAlign w:val="bottom"/>
            <w:gridSpan w:val="4"/>
            <w:vMerge w:val="restart"/>
          </w:tcPr>
          <w:p>
            <w:pPr>
              <w:jc w:val="right"/>
              <w:spacing w:after="0"/>
              <w:rPr>
                <w:sz w:val="20"/>
                <w:szCs w:val="20"/>
                <w:color w:val="auto"/>
              </w:rPr>
            </w:pPr>
            <w:r>
              <w:rPr>
                <w:rFonts w:ascii="Arial" w:cs="Arial" w:eastAsia="Arial" w:hAnsi="Arial"/>
                <w:sz w:val="18"/>
                <w:szCs w:val="18"/>
                <w:color w:val="auto"/>
              </w:rPr>
              <w:t>(447) $</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114,931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December 31, 2012</w:t>
            </w:r>
          </w:p>
        </w:tc>
        <w:tc>
          <w:tcPr>
            <w:tcW w:w="58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300" w:type="dxa"/>
            <w:vAlign w:val="bottom"/>
            <w:gridSpan w:val="6"/>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4"/>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22"/>
          </w:tcPr>
          <w:p>
            <w:pPr>
              <w:spacing w:after="0"/>
              <w:rPr>
                <w:sz w:val="20"/>
                <w:szCs w:val="20"/>
                <w:color w:val="auto"/>
              </w:rPr>
            </w:pPr>
            <w:r>
              <w:rPr>
                <w:rFonts w:ascii="Arial" w:cs="Arial" w:eastAsia="Arial" w:hAnsi="Arial"/>
                <w:sz w:val="18"/>
                <w:szCs w:val="18"/>
                <w:i w:val="1"/>
                <w:iCs w:val="1"/>
                <w:color w:val="auto"/>
                <w:w w:val="91"/>
              </w:rPr>
              <w:t>The accompanying notes are an integral part of these unaudited consolidated financial statements.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8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60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880" w:type="dxa"/>
            <w:vAlign w:val="bottom"/>
            <w:gridSpan w:val="11"/>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580" w:type="dxa"/>
            <w:vAlign w:val="bottom"/>
            <w:gridSpan w:val="14"/>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gridSpan w:val="3"/>
          </w:tcPr>
          <w:p>
            <w:pPr>
              <w:spacing w:after="0"/>
              <w:rPr>
                <w:sz w:val="20"/>
                <w:szCs w:val="20"/>
                <w:color w:val="auto"/>
              </w:rPr>
            </w:pPr>
            <w:r>
              <w:rPr>
                <w:rFonts w:ascii="Arial" w:cs="Arial" w:eastAsia="Arial" w:hAnsi="Arial"/>
                <w:sz w:val="18"/>
                <w:szCs w:val="18"/>
                <w:color w:val="auto"/>
              </w:rPr>
              <w:t>(Dollars in thousands)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w w:val="95"/>
              </w:rPr>
              <w:t>Six Months Ended 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2,550</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1"/>
            <w:shd w:val="clear" w:color="auto" w:fill="CCEEFF"/>
          </w:tcPr>
          <w:p>
            <w:pPr>
              <w:ind w:left="160"/>
              <w:spacing w:after="0"/>
              <w:rPr>
                <w:sz w:val="20"/>
                <w:szCs w:val="20"/>
                <w:color w:val="auto"/>
              </w:rPr>
            </w:pPr>
            <w:r>
              <w:rPr>
                <w:rFonts w:ascii="Arial" w:cs="Arial" w:eastAsia="Arial" w:hAnsi="Arial"/>
                <w:sz w:val="18"/>
                <w:szCs w:val="18"/>
                <w:color w:val="auto"/>
                <w:w w:val="97"/>
              </w:rPr>
              <w:t>Adjustments to reconcile net income to net cash provided by (used in)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tcPr>
          <w:p>
            <w:pPr>
              <w:ind w:left="340"/>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13"/>
            <w:shd w:val="clear" w:color="auto" w:fill="CCEEFF"/>
          </w:tcPr>
          <w:p>
            <w:pPr>
              <w:ind w:left="340"/>
              <w:spacing w:after="0"/>
              <w:rPr>
                <w:sz w:val="20"/>
                <w:szCs w:val="20"/>
                <w:color w:val="auto"/>
              </w:rPr>
            </w:pPr>
            <w:r>
              <w:rPr>
                <w:rFonts w:ascii="Arial" w:cs="Arial" w:eastAsia="Arial" w:hAnsi="Arial"/>
                <w:sz w:val="18"/>
                <w:szCs w:val="18"/>
                <w:color w:val="auto"/>
                <w:w w:val="92"/>
              </w:rPr>
              <w:t>Gain on sale or impairment of repossessed collateral, net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10"/>
          </w:tcPr>
          <w:p>
            <w:pPr>
              <w:ind w:left="340"/>
              <w:spacing w:after="0"/>
              <w:rPr>
                <w:sz w:val="20"/>
                <w:szCs w:val="20"/>
                <w:color w:val="auto"/>
              </w:rPr>
            </w:pPr>
            <w:r>
              <w:rPr>
                <w:rFonts w:ascii="Arial" w:cs="Arial" w:eastAsia="Arial" w:hAnsi="Arial"/>
                <w:sz w:val="18"/>
                <w:szCs w:val="18"/>
                <w:color w:val="auto"/>
                <w:w w:val="91"/>
              </w:rPr>
              <w:t>Accretion of fair value adjustments on loans, net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(3,505)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w w:val="90"/>
              </w:rPr>
              <w:t>Accretion of fair value adjustments on deposits,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13"/>
          </w:tcPr>
          <w:p>
            <w:pPr>
              <w:ind w:left="340"/>
              <w:spacing w:after="0"/>
              <w:rPr>
                <w:sz w:val="20"/>
                <w:szCs w:val="20"/>
                <w:color w:val="auto"/>
              </w:rPr>
            </w:pPr>
            <w:r>
              <w:rPr>
                <w:rFonts w:ascii="Arial" w:cs="Arial" w:eastAsia="Arial" w:hAnsi="Arial"/>
                <w:sz w:val="18"/>
                <w:szCs w:val="18"/>
                <w:color w:val="auto"/>
                <w:w w:val="98"/>
              </w:rPr>
              <w:t>Accretion of fair value adjustments on borrowings, net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w w:val="99"/>
              </w:rPr>
              <w:t>Originations of loans held for sale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(73,982)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10"/>
          </w:tcPr>
          <w:p>
            <w:pPr>
              <w:ind w:left="340"/>
              <w:spacing w:after="0"/>
              <w:rPr>
                <w:sz w:val="20"/>
                <w:szCs w:val="20"/>
                <w:color w:val="auto"/>
              </w:rPr>
            </w:pPr>
            <w:r>
              <w:rPr>
                <w:rFonts w:ascii="Arial" w:cs="Arial" w:eastAsia="Arial" w:hAnsi="Arial"/>
                <w:sz w:val="18"/>
                <w:szCs w:val="18"/>
                <w:color w:val="auto"/>
                <w:w w:val="95"/>
              </w:rPr>
              <w:t>Net proceeds from sales of loans held for sale</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77,272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70,867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w w:val="94"/>
              </w:rPr>
              <w:t>Gain on sales of loans held for sale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6"/>
          </w:tcPr>
          <w:p>
            <w:pPr>
              <w:ind w:left="340"/>
              <w:spacing w:after="0"/>
              <w:rPr>
                <w:sz w:val="20"/>
                <w:szCs w:val="20"/>
                <w:color w:val="auto"/>
              </w:rPr>
            </w:pPr>
            <w:r>
              <w:rPr>
                <w:rFonts w:ascii="Arial" w:cs="Arial" w:eastAsia="Arial" w:hAnsi="Arial"/>
                <w:sz w:val="18"/>
                <w:szCs w:val="18"/>
                <w:color w:val="auto"/>
                <w:w w:val="97"/>
              </w:rPr>
              <w:t>Gain on sales of portfolio loans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w w:val="92"/>
              </w:rPr>
              <w:t>Amortization of intangible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-3191510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Bank-owned life insurance income, net</w:t>
            </w: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(481)</w:t>
            </w:r>
          </w:p>
        </w:tc>
        <w:tc>
          <w:tcPr>
            <w:tcW w:w="4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of premises and equipment</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Loss on sale of premises and equipment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 of available-for-sale securities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assets of insurance division</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Amortization of securities, net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520"/>
              <w:spacing w:after="0"/>
              <w:rPr>
                <w:sz w:val="20"/>
                <w:szCs w:val="20"/>
                <w:color w:val="auto"/>
              </w:rPr>
            </w:pPr>
            <w:r>
              <w:rPr>
                <w:rFonts w:ascii="Arial" w:cs="Arial" w:eastAsia="Arial" w:hAnsi="Arial"/>
                <w:sz w:val="18"/>
                <w:szCs w:val="18"/>
                <w:color w:val="auto"/>
              </w:rPr>
              <w:t>Interest receivable</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 prepaid FDIC assessment</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520"/>
              <w:spacing w:after="0"/>
              <w:rPr>
                <w:sz w:val="20"/>
                <w:szCs w:val="20"/>
                <w:color w:val="auto"/>
              </w:rPr>
            </w:pPr>
            <w:r>
              <w:rPr>
                <w:rFonts w:ascii="Arial" w:cs="Arial" w:eastAsia="Arial" w:hAnsi="Arial"/>
                <w:sz w:val="18"/>
                <w:szCs w:val="18"/>
                <w:color w:val="auto"/>
              </w:rPr>
              <w:t>Other assets and liabilities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2,099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1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Proceeds from sales of available-for-sale securities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159,579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(167,294)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6,668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(63,887)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Loan originations and principal collections, net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24,193</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premises and equipment</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Proceeds from sales of portfolio loans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5,189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repossessed collateral</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Proceeds from life insurance benefits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628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assets of insurance division</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(36,088)</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Financing activities: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deposits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79,867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Net increase (decrease) in short-term borrowings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preferred stock</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(1,870)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offering costs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Repayment of structured repurchase agreements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other borrowings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Redemption of preferred stock and warrants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(4,322)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11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33,779</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128,274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83,931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Transfers from loans to repossessed collateral</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3,310</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from repossessed collateral to loans</w:t>
            </w: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at December 31, 2012, the results of operations for the three and six months ended December 31, 2012 and 2011, comprehensive income for the three and six months ended December 31, 2012 and 2011, the changes in stockholders’ equity for the six months ended December 31, 2012 and 2011, and the cash flows for the six months ended December 31, 2012 and 2011. Operating results for the six months ended December 31, 2012 are not necessarily indicative of the results that may be expected for the fiscal year ending June 30, 2013 (“Fiscal 2013”). For further information, refer to the audited consolidated financial statements and notes thereto for the fiscal year ended June 30, 2012 (“Fiscal 2012”) included in the Company’s Annual Report on Form 10-K filed with the Securities and Exchange Commission.</w:t>
      </w:r>
    </w:p>
    <w:p>
      <w:pPr>
        <w:spacing w:after="0" w:line="17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ectPr>
          <w:pgSz w:w="11900" w:h="16838" w:orient="portrait"/>
          <w:cols w:equalWidth="0" w:num="1">
            <w:col w:w="11420"/>
          </w:cols>
          <w:pgMar w:left="240" w:top="125" w:right="239" w:bottom="185" w:gutter="0" w:footer="0" w:header="0"/>
        </w:sectPr>
      </w:pPr>
    </w:p>
    <w:bookmarkStart w:id="6" w:name="page7"/>
    <w:bookmarkEnd w:id="6"/>
    <w:p>
      <w:pPr>
        <w:spacing w:after="0" w:line="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December 2011, the Financial Accounting Standards Board (“FASB”) issued ASU No. 2011-11, </w:t>
      </w:r>
      <w:r>
        <w:rPr>
          <w:rFonts w:ascii="Arial" w:cs="Arial" w:eastAsia="Arial" w:hAnsi="Arial"/>
          <w:sz w:val="18"/>
          <w:szCs w:val="18"/>
          <w:i w:val="1"/>
          <w:iCs w:val="1"/>
          <w:color w:val="auto"/>
        </w:rPr>
        <w:t>Balance Sheet (Topic 210): Disclosures about Offsetting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and Liabilities </w:t>
      </w:r>
      <w:r>
        <w:rPr>
          <w:rFonts w:ascii="Arial" w:cs="Arial" w:eastAsia="Arial" w:hAnsi="Arial"/>
          <w:sz w:val="18"/>
          <w:szCs w:val="18"/>
          <w:color w:val="auto"/>
        </w:rPr>
        <w:t>(“ASU 2011-11”). The update requires entities to disclose information about offsetting and related arrangements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derivative instruments. The amendments require enhanced disclosures by requiring improved information about financial instruments and derivative instruments that are either (i) offset in accordance with current literature or (ii) subject to an enforceable master netting arrangement or similar agreement, irrespective of whether they are offset in accordance with current literature. ASU 2011-11 is effective for fiscal years, and interim periods within those years, beginning on or after January 1, 2013. The Company does not anticipate that the adoption of this guidance will have a material impact on the consolidated financial statements.</w:t>
      </w:r>
    </w:p>
    <w:p>
      <w:pPr>
        <w:spacing w:after="0" w:line="18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 Presentation of Comprehensive Income</w:t>
      </w:r>
      <w:r>
        <w:rPr>
          <w:rFonts w:ascii="Arial" w:cs="Arial" w:eastAsia="Arial" w:hAnsi="Arial"/>
          <w:sz w:val="16"/>
          <w:szCs w:val="16"/>
          <w:color w:val="auto"/>
        </w:rPr>
        <w:t xml:space="preserve"> (“ASU 2011-05”)</w:t>
      </w:r>
      <w:r>
        <w:rPr>
          <w:rFonts w:ascii="Arial" w:cs="Arial" w:eastAsia="Arial" w:hAnsi="Arial"/>
          <w:sz w:val="16"/>
          <w:szCs w:val="16"/>
          <w:i w:val="1"/>
          <w:iCs w:val="1"/>
          <w:color w:val="auto"/>
        </w:rPr>
        <w:t>.</w:t>
      </w:r>
      <w:r>
        <w:rPr>
          <w:rFonts w:ascii="Arial" w:cs="Arial" w:eastAsia="Arial" w:hAnsi="Arial"/>
          <w:sz w:val="16"/>
          <w:szCs w:val="16"/>
          <w:color w:val="auto"/>
        </w:rPr>
        <w:t xml:space="preserve"> The objective of this update is to improve the comparability, consistency, and transparency of financial reporting and to increase the prominence of items reported in other comprehensive income. The amendments in this update require that all non-owner changes in stockholders’ equity be presented either in as single continuous statement of comprehensive income or in two separate but consecutive statements. The amendments are effective for interim and annual periods beginning after December 15, 2011. The adoption of this guidance did not have a material impact on the consolidated financial statements.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December 2011, the FASB issued ASU No. 2011-12, </w:t>
      </w:r>
      <w:r>
        <w:rPr>
          <w:rFonts w:ascii="Arial" w:cs="Arial" w:eastAsia="Arial" w:hAnsi="Arial"/>
          <w:sz w:val="18"/>
          <w:szCs w:val="18"/>
          <w:i w:val="1"/>
          <w:iCs w:val="1"/>
          <w:color w:val="auto"/>
        </w:rPr>
        <w:t>Comprehensive Income (Topic 220): Deferral of the Effective Date for Amendments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Reclassifications of Items Out of Accumulated Other Comprehensive Income in Accounting Standards Update No. 2011-05. </w:t>
      </w:r>
      <w:r>
        <w:rPr>
          <w:rFonts w:ascii="Arial" w:cs="Arial" w:eastAsia="Arial" w:hAnsi="Arial"/>
          <w:sz w:val="18"/>
          <w:szCs w:val="18"/>
          <w:color w:val="auto"/>
        </w:rPr>
        <w:t>The amendments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update defer those changes in ASU 2011-05 that relate to the presentation of reclassifications out of accumulated other comprehensive income on the components of net income and other comprehensive income for all periods presented. All other requirements in ASU 2011-05 are not affected by this update. The amendments are effective for interim and annual periods beginning after December 15, 2011. The adoption of this guidance did not have a material impact on the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available-for-sale at amortized cost and approximate fair values are summarized below:</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2012</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 2012</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right"/>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jc w:val="right"/>
              <w:ind w:right="480"/>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jc w:val="center"/>
              <w:ind w:right="318"/>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r>
      <w:tr>
        <w:trPr>
          <w:trHeight w:val="171"/>
        </w:trPr>
        <w:tc>
          <w:tcPr>
            <w:tcW w:w="3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44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3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4"/>
          </w:tcPr>
          <w:p>
            <w:pPr>
              <w:jc w:val="right"/>
              <w:ind w:righ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45,556</w:t>
            </w:r>
          </w:p>
        </w:tc>
        <w:tc>
          <w:tcPr>
            <w:tcW w:w="76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45,618</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45,824</w:t>
            </w:r>
          </w:p>
        </w:tc>
        <w:tc>
          <w:tcPr>
            <w:tcW w:w="6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45,808</w:t>
            </w:r>
          </w:p>
        </w:tc>
        <w:tc>
          <w:tcPr>
            <w:tcW w:w="120" w:type="dxa"/>
            <w:vAlign w:val="bottom"/>
            <w:shd w:val="clear" w:color="auto" w:fill="CCEEFF"/>
          </w:tcPr>
          <w:p>
            <w:pPr>
              <w:spacing w:after="0"/>
              <w:rPr>
                <w:sz w:val="18"/>
                <w:szCs w:val="18"/>
                <w:color w:val="auto"/>
              </w:rPr>
            </w:pPr>
          </w:p>
        </w:tc>
      </w:tr>
      <w:tr>
        <w:trPr>
          <w:trHeight w:val="216"/>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Agency mortgage-backed securities</w:t>
            </w:r>
          </w:p>
        </w:tc>
        <w:tc>
          <w:tcPr>
            <w:tcW w:w="1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88,128</w:t>
            </w:r>
          </w:p>
        </w:tc>
        <w:tc>
          <w:tcPr>
            <w:tcW w:w="3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87,745</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86,816</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87,456</w:t>
            </w:r>
          </w:p>
        </w:tc>
        <w:tc>
          <w:tcPr>
            <w:tcW w:w="120" w:type="dxa"/>
            <w:vAlign w:val="bottom"/>
            <w:tcBorders>
              <w:bottom w:val="single" w:sz="8" w:color="CCEEFF"/>
            </w:tcBorders>
          </w:tcPr>
          <w:p>
            <w:pPr>
              <w:spacing w:after="0"/>
              <w:rPr>
                <w:sz w:val="18"/>
                <w:szCs w:val="18"/>
                <w:color w:val="auto"/>
              </w:rPr>
            </w:pPr>
          </w:p>
        </w:tc>
      </w:tr>
      <w:tr>
        <w:trPr>
          <w:trHeight w:val="210"/>
        </w:trPr>
        <w:tc>
          <w:tcPr>
            <w:tcW w:w="37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133,684</w:t>
            </w:r>
          </w:p>
        </w:tc>
        <w:tc>
          <w:tcPr>
            <w:tcW w:w="3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133,363</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132,640</w:t>
            </w: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133,264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gross unrealized gains and unrealized losses on available-for-sale securities are as follows: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8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December 31, 2012</w:t>
            </w:r>
          </w:p>
        </w:tc>
        <w:tc>
          <w:tcPr>
            <w:tcW w:w="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June 30, 2012</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jc w:val="center"/>
              <w:ind w:left="208"/>
              <w:spacing w:after="0" w:line="119" w:lineRule="exact"/>
              <w:rPr>
                <w:sz w:val="20"/>
                <w:szCs w:val="20"/>
                <w:color w:val="auto"/>
              </w:rPr>
            </w:pPr>
            <w:r>
              <w:rPr>
                <w:rFonts w:ascii="Arial" w:cs="Arial" w:eastAsia="Arial" w:hAnsi="Arial"/>
                <w:sz w:val="13"/>
                <w:szCs w:val="13"/>
                <w:b w:val="1"/>
                <w:bCs w:val="1"/>
                <w:color w:val="auto"/>
                <w:w w:val="95"/>
              </w:rPr>
              <w:t>Gross</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center"/>
              <w:ind w:left="228"/>
              <w:spacing w:after="0" w:line="119" w:lineRule="exact"/>
              <w:rPr>
                <w:sz w:val="20"/>
                <w:szCs w:val="20"/>
                <w:color w:val="auto"/>
              </w:rPr>
            </w:pPr>
            <w:r>
              <w:rPr>
                <w:rFonts w:ascii="Arial" w:cs="Arial" w:eastAsia="Arial" w:hAnsi="Arial"/>
                <w:sz w:val="13"/>
                <w:szCs w:val="13"/>
                <w:b w:val="1"/>
                <w:bCs w:val="1"/>
                <w:color w:val="auto"/>
                <w:w w:val="95"/>
              </w:rPr>
              <w:t>Gross</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left="229"/>
              <w:spacing w:after="0" w:line="119" w:lineRule="exact"/>
              <w:rPr>
                <w:sz w:val="20"/>
                <w:szCs w:val="20"/>
                <w:color w:val="auto"/>
              </w:rPr>
            </w:pPr>
            <w:r>
              <w:rPr>
                <w:rFonts w:ascii="Arial" w:cs="Arial" w:eastAsia="Arial" w:hAnsi="Arial"/>
                <w:sz w:val="13"/>
                <w:szCs w:val="13"/>
                <w:b w:val="1"/>
                <w:bCs w:val="1"/>
                <w:color w:val="auto"/>
                <w:w w:val="90"/>
              </w:rPr>
              <w:t>Gross</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r>
      <w:tr>
        <w:trPr>
          <w:trHeight w:val="149"/>
        </w:trPr>
        <w:tc>
          <w:tcPr>
            <w:tcW w:w="3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ind w:left="229"/>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Unrealized</w:t>
            </w:r>
          </w:p>
        </w:tc>
      </w:tr>
      <w:tr>
        <w:trPr>
          <w:trHeight w:val="171"/>
        </w:trPr>
        <w:tc>
          <w:tcPr>
            <w:tcW w:w="3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left="209"/>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3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4"/>
          </w:tcPr>
          <w:p>
            <w:pPr>
              <w:jc w:val="right"/>
              <w:ind w:right="429"/>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16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3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88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Agency mortgage-backed securities</w:t>
            </w:r>
          </w:p>
        </w:tc>
        <w:tc>
          <w:tcPr>
            <w:tcW w:w="1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478</w:t>
            </w:r>
          </w:p>
        </w:tc>
        <w:tc>
          <w:tcPr>
            <w:tcW w:w="3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640</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tcPr>
          <w:p>
            <w:pPr>
              <w:spacing w:after="0"/>
              <w:rPr>
                <w:sz w:val="18"/>
                <w:szCs w:val="18"/>
                <w:color w:val="auto"/>
              </w:rPr>
            </w:pPr>
          </w:p>
        </w:tc>
      </w:tr>
      <w:tr>
        <w:trPr>
          <w:trHeight w:val="210"/>
        </w:trPr>
        <w:tc>
          <w:tcPr>
            <w:tcW w:w="37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157</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478</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645</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 following table summarizes realized gains and losses on available-for-sale securities.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6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December 31,</w:t>
            </w:r>
          </w:p>
        </w:tc>
      </w:tr>
      <w:tr>
        <w:trPr>
          <w:trHeight w:val="142"/>
        </w:trPr>
        <w:tc>
          <w:tcPr>
            <w:tcW w:w="2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2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6"/>
          </w:tcPr>
          <w:p>
            <w:pPr>
              <w:jc w:val="right"/>
              <w:ind w:right="9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160" w:type="dxa"/>
            <w:vAlign w:val="bottom"/>
            <w:gridSpan w:val="2"/>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86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433</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Gross realized losses</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0"/>
        </w:trPr>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gains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2012, investment securities with a fair value of approximately $43.1 million were pledged as collateral to secure outstanding borrowings.</w:t>
      </w:r>
    </w:p>
    <w:p>
      <w:pPr>
        <w:spacing w:after="0" w:line="2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2012</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8"/>
          </w:tcPr>
          <w:p>
            <w:pPr>
              <w:jc w:val="right"/>
              <w:ind w:right="800"/>
              <w:spacing w:after="0" w:line="142" w:lineRule="exact"/>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5"/>
              </w:rPr>
              <w:t>More than 12 Months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5"/>
          </w:tcPr>
          <w:p>
            <w:pPr>
              <w:jc w:val="right"/>
              <w:ind w:right="10"/>
              <w:spacing w:after="0" w:line="142" w:lineRule="exact"/>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2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left="109"/>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r>
      <w:tr>
        <w:trPr>
          <w:trHeight w:val="171"/>
        </w:trPr>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980" w:type="dxa"/>
            <w:vAlign w:val="bottom"/>
          </w:tcPr>
          <w:p>
            <w:pPr>
              <w:jc w:val="center"/>
              <w:ind w:left="109"/>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28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829"/>
              <w:spacing w:after="0"/>
              <w:rPr>
                <w:sz w:val="20"/>
                <w:szCs w:val="20"/>
                <w:color w:val="auto"/>
              </w:rPr>
            </w:pPr>
            <w:r>
              <w:rPr>
                <w:rFonts w:ascii="Arial" w:cs="Arial" w:eastAsia="Arial" w:hAnsi="Arial"/>
                <w:sz w:val="18"/>
                <w:szCs w:val="18"/>
                <w:color w:val="auto"/>
                <w:w w:val="79"/>
              </w:rPr>
              <w:t>$</w:t>
            </w: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w w:val="99"/>
              </w:rPr>
              <w:t>Agency mortgage-backed securities</w:t>
            </w:r>
          </w:p>
        </w:tc>
        <w:tc>
          <w:tcPr>
            <w:tcW w:w="2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68,560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68,560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478</w:t>
            </w:r>
          </w:p>
        </w:tc>
      </w:tr>
      <w:tr>
        <w:trPr>
          <w:trHeight w:val="210"/>
        </w:trPr>
        <w:tc>
          <w:tcPr>
            <w:tcW w:w="28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June 30, 2012</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8"/>
          </w:tcPr>
          <w:p>
            <w:pPr>
              <w:jc w:val="right"/>
              <w:ind w:right="800"/>
              <w:spacing w:after="0" w:line="142" w:lineRule="exact"/>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5"/>
          </w:tcPr>
          <w:p>
            <w:pPr>
              <w:jc w:val="right"/>
              <w:ind w:right="349"/>
              <w:spacing w:after="0" w:line="142" w:lineRule="exact"/>
              <w:rPr>
                <w:sz w:val="20"/>
                <w:szCs w:val="20"/>
                <w:color w:val="auto"/>
              </w:rPr>
            </w:pPr>
            <w:r>
              <w:rPr>
                <w:rFonts w:ascii="Arial" w:cs="Arial" w:eastAsia="Arial" w:hAnsi="Arial"/>
                <w:sz w:val="14"/>
                <w:szCs w:val="14"/>
                <w:b w:val="1"/>
                <w:bCs w:val="1"/>
                <w:color w:val="auto"/>
              </w:rPr>
              <w:t>More than 12 Months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5"/>
          </w:tcPr>
          <w:p>
            <w:pPr>
              <w:jc w:val="right"/>
              <w:ind w:right="30"/>
              <w:spacing w:after="0" w:line="142" w:lineRule="exact"/>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2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gridSpan w:val="2"/>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left="89"/>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gridSpan w:val="2"/>
          </w:tcPr>
          <w:p>
            <w:pPr>
              <w:spacing w:after="0"/>
              <w:rPr>
                <w:sz w:val="10"/>
                <w:szCs w:val="10"/>
                <w:color w:val="auto"/>
              </w:rPr>
            </w:pPr>
          </w:p>
        </w:tc>
      </w:tr>
      <w:tr>
        <w:trPr>
          <w:trHeight w:val="171"/>
        </w:trPr>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980" w:type="dxa"/>
            <w:vAlign w:val="bottom"/>
          </w:tcPr>
          <w:p>
            <w:pPr>
              <w:jc w:val="center"/>
              <w:ind w:left="69"/>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28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36,585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49"/>
              <w:spacing w:after="0"/>
              <w:rPr>
                <w:sz w:val="20"/>
                <w:szCs w:val="20"/>
                <w:color w:val="auto"/>
              </w:rPr>
            </w:pPr>
            <w:r>
              <w:rPr>
                <w:rFonts w:ascii="Arial" w:cs="Arial" w:eastAsia="Arial" w:hAnsi="Arial"/>
                <w:sz w:val="15"/>
                <w:szCs w:val="15"/>
                <w:color w:val="auto"/>
                <w:w w:val="71"/>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36,585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w w:val="99"/>
              </w:rPr>
              <w:t>Agency mortgage-backed securities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0"/>
        </w:trPr>
        <w:tc>
          <w:tcPr>
            <w:tcW w:w="28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ind w:right="849"/>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71"/>
              </w:rPr>
              <w:t>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57" w:orient="portrait"/>
          <w:cols w:equalWidth="0" w:num="1">
            <w:col w:w="11400"/>
          </w:cols>
          <w:pgMar w:left="240" w:top="125" w:right="259" w:bottom="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six months ended December 31, 2012 or 2011.</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December 31, 2012, the Company did not have any securities in a continuous loss position for greater than twelve months. At December 31, 2012, all of the Company’s available-for-sale securities were issued or guaranteed by either government agencies or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government-sponsored enterprises. The decline in fair value of the Company’s available-for-sale securities at December 31, 2012 is attributable to changes in interest rates.</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Management does not believe any of the Company’s available-for-sale securities are other-than-temporarily impaired at December 31, 2012.</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December 31, 2012. Actual maturities may differ from contractual maturities because borrowers may have the right to call or prepay obligations with or without call or prepayment penalties.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2660" w:type="dxa"/>
            <w:vAlign w:val="bottom"/>
          </w:tcPr>
          <w:p>
            <w:pPr>
              <w:spacing w:after="0"/>
              <w:rPr>
                <w:sz w:val="14"/>
                <w:szCs w:val="14"/>
                <w:color w:val="auto"/>
              </w:rPr>
            </w:pPr>
          </w:p>
        </w:tc>
      </w:tr>
      <w:tr>
        <w:trPr>
          <w:trHeight w:val="171"/>
        </w:trPr>
        <w:tc>
          <w:tcPr>
            <w:tcW w:w="1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2660" w:type="dxa"/>
            <w:vAlign w:val="bottom"/>
          </w:tcPr>
          <w:p>
            <w:pPr>
              <w:spacing w:after="0"/>
              <w:rPr>
                <w:sz w:val="14"/>
                <w:szCs w:val="14"/>
                <w:color w:val="auto"/>
              </w:rPr>
            </w:pPr>
          </w:p>
        </w:tc>
      </w:tr>
      <w:tr>
        <w:trPr>
          <w:trHeight w:val="142"/>
        </w:trPr>
        <w:tc>
          <w:tcPr>
            <w:tcW w:w="19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75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216"/>
        </w:trPr>
        <w:tc>
          <w:tcPr>
            <w:tcW w:w="19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7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12,080</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12,096</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33,476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33,522</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47,276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47,135</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Due after ten years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40,852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40,610</w:t>
            </w:r>
          </w:p>
        </w:tc>
        <w:tc>
          <w:tcPr>
            <w:tcW w:w="2660" w:type="dxa"/>
            <w:vAlign w:val="bottom"/>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3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8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10</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All loans purchased by the Company in the secondary market by the Bank’s Loan Acquisition and Servicing Group (“LASG”) are accounted for under ASC 310-30, </w:t>
      </w:r>
      <w:r>
        <w:rPr>
          <w:rFonts w:ascii="Arial" w:cs="Arial" w:eastAsia="Arial" w:hAnsi="Arial"/>
          <w:sz w:val="17"/>
          <w:szCs w:val="17"/>
          <w:i w:val="1"/>
          <w:iCs w:val="1"/>
          <w:color w:val="auto"/>
        </w:rPr>
        <w:t>Receivables — Loans and Debt Securities Acquired with Deteriorated Credit Quality</w:t>
      </w:r>
      <w:r>
        <w:rPr>
          <w:rFonts w:ascii="Arial" w:cs="Arial" w:eastAsia="Arial" w:hAnsi="Arial"/>
          <w:sz w:val="17"/>
          <w:szCs w:val="17"/>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declines in expected cash flows of purchased loans are recorded through a specific allocation in the allowance for loan losses.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Loans classified as TDRs remain classified as such until the loan is paid off.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follows.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9"/>
              </w:rPr>
              <w:t>December 31, 2012</w:t>
            </w: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2"/>
              </w:rPr>
              <w:t>June 30, 2012</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Originated</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Purchased</w:t>
            </w: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Originated</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Purchased</w:t>
            </w: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40" w:type="dxa"/>
            <w:vAlign w:val="bottom"/>
            <w:gridSpan w:val="4"/>
          </w:tcPr>
          <w:p>
            <w:pPr>
              <w:jc w:val="right"/>
              <w:ind w:right="616"/>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84,678</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4,254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90,944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3,931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94,875</w:t>
            </w:r>
          </w:p>
        </w:tc>
        <w:tc>
          <w:tcPr>
            <w:tcW w:w="120" w:type="dxa"/>
            <w:vAlign w:val="bottom"/>
            <w:shd w:val="clear" w:color="auto" w:fill="CCEEFF"/>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Home equity</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39,041</w:t>
            </w:r>
          </w:p>
        </w:tc>
        <w:tc>
          <w:tcPr>
            <w:tcW w:w="280" w:type="dxa"/>
            <w:vAlign w:val="bottom"/>
          </w:tcPr>
          <w:p>
            <w:pPr>
              <w:spacing w:after="0"/>
              <w:rPr>
                <w:sz w:val="18"/>
                <w:szCs w:val="18"/>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42,696</w:t>
            </w:r>
          </w:p>
        </w:tc>
        <w:tc>
          <w:tcPr>
            <w:tcW w:w="2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42,696</w:t>
            </w:r>
          </w:p>
        </w:tc>
        <w:tc>
          <w:tcPr>
            <w:tcW w:w="120" w:type="dxa"/>
            <w:vAlign w:val="bottom"/>
          </w:tcPr>
          <w:p>
            <w:pPr>
              <w:spacing w:after="0"/>
              <w:rPr>
                <w:sz w:val="18"/>
                <w:szCs w:val="18"/>
                <w:color w:val="auto"/>
              </w:rPr>
            </w:pPr>
          </w:p>
        </w:tc>
      </w:tr>
      <w:tr>
        <w:trPr>
          <w:trHeight w:val="97"/>
        </w:trPr>
        <w:tc>
          <w:tcPr>
            <w:tcW w:w="2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bl>
    <w:p>
      <w:pPr>
        <w:sectPr>
          <w:pgSz w:w="11900" w:h="16900" w:orient="portrait"/>
          <w:cols w:equalWidth="0" w:num="1">
            <w:col w:w="11460"/>
          </w:cols>
          <w:pgMar w:left="240" w:top="341"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180,735</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Construction</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Consumer</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17,149</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17,149</w:t>
            </w:r>
          </w:p>
        </w:tc>
        <w:tc>
          <w:tcPr>
            <w:tcW w:w="120" w:type="dxa"/>
            <w:vAlign w:val="bottom"/>
            <w:tcBorders>
              <w:bottom w:val="single" w:sz="8" w:color="CCEEFF"/>
            </w:tcBorders>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258,859</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133,724</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392,583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271,784</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84,470</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356,254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32"/>
        </w:trPr>
        <w:tc>
          <w:tcPr>
            <w:tcW w:w="14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Purchased credit impaired (“PCI”) loans include those loans acquired with specific evidence of deterioration of credit quality since origination and for which it is probable, at acquisition, that the Company will be unable to collect all contractually required payments receivable. The Company does not characterize purchased loans with no or insignificant credit impairment as PCI loans. The following table presents a summary of PCI loans purchased by the LASG during the six months ended December 31, 2012 and 2011.</w:t>
      </w:r>
    </w:p>
    <w:p>
      <w:pPr>
        <w:spacing w:after="0" w:line="179"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left="458"/>
              <w:spacing w:after="0"/>
              <w:rPr>
                <w:sz w:val="20"/>
                <w:szCs w:val="20"/>
                <w:color w:val="auto"/>
              </w:rPr>
            </w:pPr>
            <w:r>
              <w:rPr>
                <w:rFonts w:ascii="Arial" w:cs="Arial" w:eastAsia="Arial" w:hAnsi="Arial"/>
                <w:sz w:val="14"/>
                <w:szCs w:val="14"/>
                <w:b w:val="1"/>
                <w:bCs w:val="1"/>
                <w:color w:val="auto"/>
                <w:w w:val="96"/>
              </w:rPr>
              <w:t>PCI Loans Acquired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5"/>
          </w:tcPr>
          <w:p>
            <w:pPr>
              <w:jc w:val="center"/>
              <w:ind w:right="213"/>
              <w:spacing w:after="0" w:line="142" w:lineRule="exact"/>
              <w:rPr>
                <w:sz w:val="20"/>
                <w:szCs w:val="20"/>
                <w:color w:val="auto"/>
              </w:rPr>
            </w:pPr>
            <w:r>
              <w:rPr>
                <w:rFonts w:ascii="Arial" w:cs="Arial" w:eastAsia="Arial" w:hAnsi="Arial"/>
                <w:sz w:val="14"/>
                <w:szCs w:val="14"/>
                <w:b w:val="1"/>
                <w:bCs w:val="1"/>
                <w:color w:val="auto"/>
                <w:w w:val="92"/>
              </w:rPr>
              <w:t>Six Months Ended December 31,</w:t>
            </w:r>
          </w:p>
        </w:tc>
        <w:tc>
          <w:tcPr>
            <w:tcW w:w="10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4"/>
          </w:tcPr>
          <w:p>
            <w:pPr>
              <w:jc w:val="center"/>
              <w:ind w:left="45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20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(10,814)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(2,958)</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Accretable yield</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(14,214)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(3,122)</w:t>
            </w:r>
          </w:p>
        </w:tc>
      </w:tr>
      <w:tr>
        <w:trPr>
          <w:trHeight w:val="210"/>
        </w:trPr>
        <w:tc>
          <w:tcPr>
            <w:tcW w:w="4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loans acquired</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460"/>
          </w:cols>
          <w:pgMar w:left="240" w:top="140" w:right="199" w:bottom="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-121920</wp:posOffset>
            </wp:positionV>
            <wp:extent cx="61747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Accretion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-130810</wp:posOffset>
            </wp:positionV>
            <wp:extent cx="61747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6"/>
          <w:szCs w:val="16"/>
          <w:color w:val="auto"/>
        </w:rPr>
        <w:t>Reclassifications from nonaccretable difference</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Disposals and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-130810</wp:posOffset>
            </wp:positionV>
            <wp:extent cx="61747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jc w:val="right"/>
        <w:ind w:right="4860"/>
        <w:spacing w:after="0"/>
        <w:rPr>
          <w:sz w:val="20"/>
          <w:szCs w:val="20"/>
          <w:color w:val="auto"/>
        </w:rPr>
      </w:pPr>
      <w:r>
        <w:rPr>
          <w:rFonts w:ascii="Arial" w:cs="Arial" w:eastAsia="Arial" w:hAnsi="Arial"/>
          <w:sz w:val="15"/>
          <w:szCs w:val="15"/>
          <w:color w:val="auto"/>
        </w:rPr>
        <w:t>Other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27940</wp:posOffset>
            </wp:positionV>
            <wp:extent cx="617474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4740" cy="154305"/>
                    </a:xfrm>
                    <a:prstGeom prst="rect">
                      <a:avLst/>
                    </a:prstGeom>
                    <a:noFill/>
                  </pic:spPr>
                </pic:pic>
              </a:graphicData>
            </a:graphic>
          </wp:anchor>
        </w:drawing>
      </w:r>
    </w:p>
    <w:p>
      <w:pPr>
        <w:spacing w:after="0" w:line="36" w:lineRule="exact"/>
        <w:rPr>
          <w:sz w:val="20"/>
          <w:szCs w:val="20"/>
          <w:color w:val="auto"/>
        </w:rPr>
      </w:pPr>
    </w:p>
    <w:p>
      <w:pPr>
        <w:jc w:val="right"/>
        <w:ind w:right="4820"/>
        <w:spacing w:after="0"/>
        <w:rPr>
          <w:sz w:val="20"/>
          <w:szCs w:val="20"/>
          <w:color w:val="auto"/>
        </w:rPr>
      </w:pPr>
      <w:r>
        <w:rPr>
          <w:rFonts w:ascii="Arial" w:cs="Arial" w:eastAsia="Arial" w:hAnsi="Arial"/>
          <w:sz w:val="18"/>
          <w:szCs w:val="18"/>
          <w:color w:val="auto"/>
        </w:rPr>
        <w:t>End balance</w:t>
      </w:r>
    </w:p>
    <w:p>
      <w:pPr>
        <w:spacing w:after="0" w:line="20" w:lineRule="exact"/>
        <w:rPr>
          <w:sz w:val="20"/>
          <w:szCs w:val="20"/>
          <w:color w:val="auto"/>
        </w:rPr>
      </w:pPr>
      <w:r>
        <w:rPr>
          <w:sz w:val="20"/>
          <w:szCs w:val="20"/>
          <w:color w:val="auto"/>
        </w:rPr>
        <w:br w:type="column"/>
      </w:r>
    </w:p>
    <w:p>
      <w:pPr>
        <w:jc w:val="center"/>
        <w:ind w:right="740"/>
        <w:spacing w:after="0"/>
        <w:rPr>
          <w:sz w:val="20"/>
          <w:szCs w:val="20"/>
          <w:color w:val="auto"/>
        </w:rPr>
      </w:pPr>
      <w:r>
        <w:rPr>
          <w:rFonts w:ascii="Arial" w:cs="Arial" w:eastAsia="Arial" w:hAnsi="Arial"/>
          <w:sz w:val="14"/>
          <w:szCs w:val="14"/>
          <w:b w:val="1"/>
          <w:bCs w:val="1"/>
          <w:color w:val="auto"/>
        </w:rPr>
        <w:t>PCI Loans: Activity in Accretable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912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jc w:val="center"/>
        <w:ind w:right="740"/>
        <w:spacing w:after="0"/>
        <w:rPr>
          <w:sz w:val="20"/>
          <w:szCs w:val="20"/>
          <w:color w:val="auto"/>
        </w:rPr>
      </w:pPr>
      <w:r>
        <w:rPr>
          <w:rFonts w:ascii="Arial" w:cs="Arial" w:eastAsia="Arial" w:hAnsi="Arial"/>
          <w:sz w:val="14"/>
          <w:szCs w:val="14"/>
          <w:b w:val="1"/>
          <w:bCs w:val="1"/>
          <w:color w:val="auto"/>
        </w:rPr>
        <w:t>Six Months Ended 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w w:val="83"/>
              </w:rPr>
              <w:t>2011</w:t>
            </w:r>
          </w:p>
        </w:tc>
        <w:tc>
          <w:tcPr>
            <w:tcW w:w="4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80" w:type="dxa"/>
            <w:vAlign w:val="bottom"/>
            <w:gridSpan w:val="4"/>
          </w:tcPr>
          <w:p>
            <w:pPr>
              <w:jc w:val="right"/>
              <w:spacing w:after="0" w:line="128"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7,169</w:t>
            </w:r>
          </w:p>
        </w:tc>
        <w:tc>
          <w:tcPr>
            <w:tcW w:w="280" w:type="dxa"/>
            <w:vAlign w:val="bottom"/>
          </w:tcPr>
          <w:p>
            <w:pPr>
              <w:spacing w:after="0"/>
              <w:rPr>
                <w:sz w:val="18"/>
                <w:szCs w:val="18"/>
                <w:color w:val="auto"/>
              </w:rPr>
            </w:pP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(2,052)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(2,951)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00" w:space="720"/>
            <w:col w:w="3740"/>
          </w:cols>
          <w:pgMar w:left="240" w:top="140" w:right="199" w:bottom="1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PCI loans.</w:t>
      </w:r>
    </w:p>
    <w:p>
      <w:pPr>
        <w:spacing w:after="0" w:line="217" w:lineRule="exact"/>
        <w:rPr>
          <w:sz w:val="20"/>
          <w:szCs w:val="20"/>
          <w:color w:val="auto"/>
        </w:rPr>
      </w:pPr>
    </w:p>
    <w:tbl>
      <w:tblPr>
        <w:tblLayout w:type="fixed"/>
        <w:tblInd w:w="228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2012</w:t>
            </w: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4"/>
          </w:tcPr>
          <w:p>
            <w:pPr>
              <w:jc w:val="right"/>
              <w:ind w:right="73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Carrying amount</w:t>
            </w:r>
          </w:p>
        </w:tc>
        <w:tc>
          <w:tcPr>
            <w:tcW w:w="9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30,104</w:t>
            </w:r>
          </w:p>
        </w:tc>
        <w:tc>
          <w:tcPr>
            <w:tcW w:w="2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13,866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Loan losses are charged against the allowance when management believes the uncollectibility of a loan balance is confirmed. Subsequent recoveries, if any, are credited to the allowance.</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54" w:lineRule="exact"/>
        <w:rPr>
          <w:sz w:val="20"/>
          <w:szCs w:val="20"/>
          <w:color w:val="auto"/>
        </w:rPr>
      </w:pPr>
    </w:p>
    <w:p>
      <w:pPr>
        <w:ind w:left="440" w:right="60" w:firstLine="1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40" w:right="100"/>
        <w:spacing w:after="0" w:line="297"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58" w:lineRule="exact"/>
        <w:rPr>
          <w:sz w:val="20"/>
          <w:szCs w:val="20"/>
          <w:color w:val="auto"/>
        </w:rPr>
      </w:pPr>
    </w:p>
    <w:p>
      <w:pPr>
        <w:jc w:val="both"/>
        <w:ind w:left="440" w:right="260"/>
        <w:spacing w:after="0" w:line="264"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Continued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40" w:right="199" w:bottom="140" w:gutter="0" w:footer="0" w:header="0"/>
          <w:type w:val="continuous"/>
        </w:sectPr>
      </w:pPr>
    </w:p>
    <w:bookmarkStart w:id="9" w:name="page10"/>
    <w:bookmarkEnd w:id="9"/>
    <w:p>
      <w:pPr>
        <w:spacing w:after="0" w:line="62" w:lineRule="exact"/>
        <w:rPr>
          <w:sz w:val="20"/>
          <w:szCs w:val="20"/>
          <w:color w:val="auto"/>
        </w:rPr>
      </w:pPr>
    </w:p>
    <w:p>
      <w:pPr>
        <w:ind w:left="440" w:right="26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40" w:right="120"/>
        <w:spacing w:after="0" w:line="271" w:lineRule="auto"/>
        <w:rPr>
          <w:sz w:val="20"/>
          <w:szCs w:val="20"/>
          <w:color w:val="auto"/>
        </w:rPr>
      </w:pPr>
      <w:r>
        <w:rPr>
          <w:rFonts w:ascii="Arial" w:cs="Arial" w:eastAsia="Arial" w:hAnsi="Arial"/>
          <w:sz w:val="17"/>
          <w:szCs w:val="17"/>
          <w:color w:val="auto"/>
        </w:rPr>
        <w:t>Purchased: Loans in this segment are secured by commercial real estate, multi-family residential real estate, or business assets and have been acquired by the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changes in the Company’s policies or methodology pertaining to the general component of the allowance for loan losses during the three and six months ended December 31, 2012.</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loans modified in troubled debt restructurings are individually reviewed for impairment.</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all portfolio segments, except the purchased loan segment,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Loan impairment of purchased loans is measured based on the decrease in expected cash flows from those estimated at acquisition, excluding changes due to decreases in interest rate indices,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8"/>
              </w:rPr>
              <w:t>Three months ended December 31, 2012</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Residential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Purchased (1)</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8"/>
              </w:rPr>
              <w:t>Three months ended December 31, 2011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Residential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Purchased (1)</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50"/>
        </w:trPr>
        <w:tc>
          <w:tcPr>
            <w:tcW w:w="3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0" w:name="page11"/>
    <w:bookmarkEnd w:id="10"/>
    <w:p>
      <w:pPr>
        <w:spacing w:after="0"/>
        <w:tabs>
          <w:tab w:leader="none" w:pos="3320" w:val="left"/>
          <w:tab w:leader="none" w:pos="4180" w:val="left"/>
          <w:tab w:leader="none" w:pos="4680" w:val="left"/>
          <w:tab w:leader="none" w:pos="5560" w:val="left"/>
          <w:tab w:leader="none" w:pos="6060" w:val="left"/>
          <w:tab w:leader="none" w:pos="6940" w:val="left"/>
          <w:tab w:leader="none" w:pos="7440" w:val="left"/>
          <w:tab w:leader="none" w:pos="8320" w:val="left"/>
          <w:tab w:leader="none" w:pos="8820" w:val="left"/>
          <w:tab w:leader="none" w:pos="9860" w:val="left"/>
          <w:tab w:leader="none" w:pos="10180" w:val="left"/>
          <w:tab w:leader="none" w:pos="11020" w:val="left"/>
        </w:tabs>
        <w:rPr>
          <w:sz w:val="20"/>
          <w:szCs w:val="20"/>
          <w:color w:val="auto"/>
        </w:rPr>
      </w:pPr>
      <w:r>
        <w:rPr>
          <w:rFonts w:ascii="Arial" w:cs="Arial" w:eastAsia="Arial" w:hAnsi="Arial"/>
          <w:sz w:val="18"/>
          <w:szCs w:val="18"/>
          <w:color w:val="auto"/>
        </w:rPr>
        <w:t>Ending balance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125</w:t>
        <w:tab/>
        <w:t>$</w:t>
      </w:r>
      <w:r>
        <w:rPr>
          <w:sz w:val="20"/>
          <w:szCs w:val="20"/>
          <w:color w:val="auto"/>
        </w:rPr>
        <w:tab/>
      </w:r>
      <w:r>
        <w:rPr>
          <w:rFonts w:ascii="Arial" w:cs="Arial" w:eastAsia="Arial" w:hAnsi="Arial"/>
          <w:sz w:val="18"/>
          <w:szCs w:val="18"/>
          <w:color w:val="auto"/>
        </w:rPr>
        <w:t>147</w:t>
        <w:tab/>
        <w:t>$</w:t>
      </w:r>
      <w:r>
        <w:rPr>
          <w:sz w:val="20"/>
          <w:szCs w:val="20"/>
          <w:color w:val="auto"/>
        </w:rPr>
        <w:tab/>
      </w:r>
      <w:r>
        <w:rPr>
          <w:rFonts w:ascii="Arial" w:cs="Arial" w:eastAsia="Arial" w:hAnsi="Arial"/>
          <w:sz w:val="18"/>
          <w:szCs w:val="18"/>
          <w:color w:val="auto"/>
        </w:rPr>
        <w:t>231</w:t>
        <w:tab/>
        <w:t>$</w:t>
      </w:r>
      <w:r>
        <w:rPr>
          <w:sz w:val="20"/>
          <w:szCs w:val="20"/>
          <w:color w:val="auto"/>
        </w:rPr>
        <w:tab/>
      </w:r>
      <w:r>
        <w:rPr>
          <w:rFonts w:ascii="Arial" w:cs="Arial" w:eastAsia="Arial" w:hAnsi="Arial"/>
          <w:sz w:val="18"/>
          <w:szCs w:val="18"/>
          <w:color w:val="auto"/>
        </w:rPr>
        <w:t>234</w:t>
        <w:tab/>
        <w:t>$</w:t>
      </w:r>
      <w:r>
        <w:rPr>
          <w:sz w:val="20"/>
          <w:szCs w:val="20"/>
          <w:color w:val="auto"/>
        </w:rPr>
        <w:tab/>
      </w:r>
      <w:r>
        <w:rPr>
          <w:rFonts w:ascii="Arial" w:cs="Arial" w:eastAsia="Arial" w:hAnsi="Arial"/>
          <w:sz w:val="18"/>
          <w:szCs w:val="18"/>
          <w:color w:val="auto"/>
        </w:rPr>
        <w:t>0</w:t>
        <w:tab/>
        <w:t>$</w:t>
      </w:r>
      <w:r>
        <w:rPr>
          <w:sz w:val="20"/>
          <w:szCs w:val="20"/>
          <w:color w:val="auto"/>
        </w:rPr>
        <w:tab/>
      </w:r>
      <w:r>
        <w:rPr>
          <w:rFonts w:ascii="Arial" w:cs="Arial" w:eastAsia="Arial" w:hAnsi="Arial"/>
          <w:sz w:val="16"/>
          <w:szCs w:val="16"/>
          <w:color w:val="auto"/>
        </w:rPr>
        <w:t>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right="440" w:hanging="332"/>
        <w:spacing w:after="0" w:line="342" w:lineRule="auto"/>
        <w:tabs>
          <w:tab w:leader="none" w:pos="347"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Purchased loans include commercial real estate, commercial business, and commercial loans secured by residential real estate loans. The Company separately analyzes all loans purchased by the LASG from other segments in determining the allowance for loan losses under ASC 310-30.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0"/>
              </w:rPr>
              <w:t>Six months ended December 31, 2012</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Residential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2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10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0"/>
              </w:rPr>
              <w:t>Six months ended December 31, 2011</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Residential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2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40" w:hanging="332"/>
        <w:spacing w:after="0" w:line="342" w:lineRule="auto"/>
        <w:tabs>
          <w:tab w:leader="none" w:pos="347"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Purchased loans include commercial real estate, commercial business, and commercial loans secured by residential real estate loans. The Company separately analyzes all loans purchased by the LASG from other segments in determining the allowance for loan losses under ASC 310-30.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Commercial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Business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Individually evaluated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Collectively evaluated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Purchased (1)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Individually evaluated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2,052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Collectively evaluated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121,102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14,739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Purchased (1)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4,254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129,470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133,724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2012</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Commercial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Business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Individually evaluated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Collectively evaluated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Purchased(1)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Individually evaluated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3,112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Collectively evaluated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133,241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17,149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Purchased(1) (2)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3,931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79,484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83,415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4"/>
        <w:spacing w:after="0" w:line="258" w:lineRule="auto"/>
        <w:tabs>
          <w:tab w:leader="none" w:pos="9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Loans in this category are evaluated for impaired under ASC 310-30. Post acquisition, the effect of a decline in expected cash flows is recorded through the allowance for loan losses as a specific allocation.</w:t>
      </w:r>
    </w:p>
    <w:p>
      <w:pPr>
        <w:spacing w:after="0" w:line="1" w:lineRule="exact"/>
        <w:rPr>
          <w:rFonts w:ascii="Arial" w:cs="Arial" w:eastAsia="Arial" w:hAnsi="Arial"/>
          <w:sz w:val="18"/>
          <w:szCs w:val="18"/>
          <w:color w:val="auto"/>
        </w:rPr>
      </w:pPr>
    </w:p>
    <w:p>
      <w:pPr>
        <w:ind w:left="660" w:right="280" w:hanging="4"/>
        <w:spacing w:after="0" w:line="261" w:lineRule="auto"/>
        <w:tabs>
          <w:tab w:leader="none" w:pos="905"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June 30, 2012, one purchased loan totaling $1.1 million was nonperforming and considered collateral dependent for purposes of evaluation under ASC 310-10.</w:t>
      </w:r>
    </w:p>
    <w:p>
      <w:pPr>
        <w:sectPr>
          <w:pgSz w:w="11900" w:h="16838" w:orient="portrait"/>
          <w:cols w:equalWidth="0" w:num="1">
            <w:col w:w="11420"/>
          </w:cols>
          <w:pgMar w:left="240" w:top="125" w:right="239" w:bottom="258"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58" w:gutter="0" w:footer="0" w:header="0"/>
          <w:type w:val="continuous"/>
        </w:sectPr>
      </w:pPr>
    </w:p>
    <w:bookmarkStart w:id="11" w:name="page12"/>
    <w:bookmarkEnd w:id="1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following table sets forth information regarding impaired loans. Interest income recognized includes interest received or accrued based on loan principal and contractual interest rates. Loans accounted for under ASC 310-30 that have performed based on cash flow and accretable yield expectations determined at date of acquisition are not considered impaired assets and have been excluded from the tables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4"/>
                <w:szCs w:val="14"/>
                <w:b w:val="1"/>
                <w:bCs w:val="1"/>
                <w:color w:val="auto"/>
                <w:w w:val="93"/>
              </w:rPr>
              <w:t>At December 31, 2012</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2"/>
              </w:rPr>
              <w:t>At June 30, 2012</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209"/>
              <w:spacing w:after="0" w:line="119" w:lineRule="exact"/>
              <w:rPr>
                <w:sz w:val="20"/>
                <w:szCs w:val="20"/>
                <w:color w:val="auto"/>
              </w:rPr>
            </w:pPr>
            <w:r>
              <w:rPr>
                <w:rFonts w:ascii="Arial" w:cs="Arial" w:eastAsia="Arial" w:hAnsi="Arial"/>
                <w:sz w:val="13"/>
                <w:szCs w:val="13"/>
                <w:b w:val="1"/>
                <w:bCs w:val="1"/>
                <w:color w:val="auto"/>
              </w:rPr>
              <w:t>Unpaid</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4"/>
              </w:rPr>
              <w:t>Related</w:t>
            </w:r>
          </w:p>
        </w:tc>
        <w:tc>
          <w:tcPr>
            <w:tcW w:w="180" w:type="dxa"/>
            <w:vAlign w:val="bottom"/>
          </w:tcPr>
          <w:p>
            <w:pPr>
              <w:spacing w:after="0"/>
              <w:rPr>
                <w:sz w:val="10"/>
                <w:szCs w:val="10"/>
                <w:color w:val="auto"/>
              </w:rPr>
            </w:pPr>
          </w:p>
        </w:tc>
        <w:tc>
          <w:tcPr>
            <w:tcW w:w="100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center"/>
              <w:ind w:left="15"/>
              <w:spacing w:after="0" w:line="119" w:lineRule="exact"/>
              <w:rPr>
                <w:sz w:val="20"/>
                <w:szCs w:val="20"/>
                <w:color w:val="auto"/>
              </w:rPr>
            </w:pPr>
            <w:r>
              <w:rPr>
                <w:rFonts w:ascii="Arial" w:cs="Arial" w:eastAsia="Arial" w:hAnsi="Arial"/>
                <w:sz w:val="13"/>
                <w:szCs w:val="13"/>
                <w:b w:val="1"/>
                <w:bCs w:val="1"/>
                <w:color w:val="auto"/>
              </w:rPr>
              <w:t>Unpaid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Related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29"/>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left="15"/>
              <w:spacing w:after="0" w:line="149" w:lineRule="exact"/>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29"/>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4"/>
                <w:szCs w:val="14"/>
                <w:color w:val="auto"/>
              </w:rPr>
            </w:pPr>
          </w:p>
        </w:tc>
        <w:tc>
          <w:tcPr>
            <w:tcW w:w="1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4"/>
                <w:szCs w:val="14"/>
                <w:color w:val="auto"/>
              </w:rPr>
            </w:pPr>
          </w:p>
        </w:tc>
        <w:tc>
          <w:tcPr>
            <w:tcW w:w="1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Allowance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5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483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692</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5"/>
          </w:tcPr>
          <w:p>
            <w:pPr>
              <w:jc w:val="right"/>
              <w:ind w:right="220"/>
              <w:spacing w:after="0"/>
              <w:rPr>
                <w:sz w:val="20"/>
                <w:szCs w:val="20"/>
                <w:color w:val="auto"/>
              </w:rPr>
            </w:pPr>
            <w:r>
              <w:rPr>
                <w:rFonts w:ascii="Arial" w:cs="Arial" w:eastAsia="Arial" w:hAnsi="Arial"/>
                <w:sz w:val="18"/>
                <w:szCs w:val="18"/>
                <w:color w:val="auto"/>
              </w:rPr>
              <w:t>1,462</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2,685</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4,375</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Impaired loans with a valuation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allowance: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103</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565</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817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Purchased: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Total impaired loans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5,203</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5,860</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8"/>
          </w:tcPr>
          <w:p>
            <w:pPr>
              <w:ind w:left="2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December 31, 2012</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8"/>
          </w:tcPr>
          <w:p>
            <w:pPr>
              <w:ind w:left="220"/>
              <w:spacing w:after="0"/>
              <w:rPr>
                <w:sz w:val="20"/>
                <w:szCs w:val="20"/>
                <w:color w:val="auto"/>
              </w:rPr>
            </w:pPr>
            <w:r>
              <w:rPr>
                <w:rFonts w:ascii="Arial" w:cs="Arial" w:eastAsia="Arial" w:hAnsi="Arial"/>
                <w:sz w:val="14"/>
                <w:szCs w:val="14"/>
                <w:b w:val="1"/>
                <w:bCs w:val="1"/>
                <w:color w:val="auto"/>
              </w:rPr>
              <w:t>December 31, 2012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Borders>
              <w:top w:val="single" w:sz="8" w:color="auto"/>
            </w:tcBorders>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Average</w:t>
            </w: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center"/>
              <w:ind w:left="347"/>
              <w:spacing w:after="0" w:line="119" w:lineRule="exact"/>
              <w:rPr>
                <w:sz w:val="20"/>
                <w:szCs w:val="20"/>
                <w:color w:val="auto"/>
              </w:rPr>
            </w:pPr>
            <w:r>
              <w:rPr>
                <w:rFonts w:ascii="Arial" w:cs="Arial" w:eastAsia="Arial" w:hAnsi="Arial"/>
                <w:sz w:val="13"/>
                <w:szCs w:val="13"/>
                <w:b w:val="1"/>
                <w:bCs w:val="1"/>
                <w:color w:val="auto"/>
              </w:rPr>
              <w:t>Interest</w:t>
            </w: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4"/>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Average</w:t>
            </w: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234"/>
              <w:spacing w:after="0" w:line="119"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2"/>
                <w:szCs w:val="12"/>
                <w:color w:val="auto"/>
              </w:rPr>
            </w:pPr>
          </w:p>
        </w:tc>
        <w:tc>
          <w:tcPr>
            <w:tcW w:w="980" w:type="dxa"/>
            <w:vAlign w:val="bottom"/>
            <w:gridSpan w:val="3"/>
          </w:tcPr>
          <w:p>
            <w:pPr>
              <w:jc w:val="center"/>
              <w:ind w:left="327"/>
              <w:spacing w:after="0" w:line="149" w:lineRule="exact"/>
              <w:rPr>
                <w:sz w:val="20"/>
                <w:szCs w:val="20"/>
                <w:color w:val="auto"/>
              </w:rPr>
            </w:pPr>
            <w:r>
              <w:rPr>
                <w:rFonts w:ascii="Arial" w:cs="Arial" w:eastAsia="Arial" w:hAnsi="Arial"/>
                <w:sz w:val="14"/>
                <w:szCs w:val="14"/>
                <w:b w:val="1"/>
                <w:bCs w:val="1"/>
                <w:color w:val="auto"/>
                <w:w w:val="93"/>
              </w:rPr>
              <w:t>Income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4"/>
                <w:szCs w:val="14"/>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Recognized</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8"/>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Impaired loans without a valuation allowance:</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904</w:t>
            </w:r>
          </w:p>
        </w:tc>
        <w:tc>
          <w:tcPr>
            <w:tcW w:w="84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2,372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w w:val="97"/>
              </w:rPr>
              <w:t>Impaired loans with a valuation allowance: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1,178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Purchased: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4,298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jc w:val="right"/>
              <w:ind w:right="407"/>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8"/>
          </w:tcPr>
          <w:p>
            <w:pPr>
              <w:ind w:left="2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December 31, 2011</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8"/>
          </w:tcPr>
          <w:p>
            <w:pPr>
              <w:ind w:left="220"/>
              <w:spacing w:after="0"/>
              <w:rPr>
                <w:sz w:val="20"/>
                <w:szCs w:val="20"/>
                <w:color w:val="auto"/>
              </w:rPr>
            </w:pPr>
            <w:r>
              <w:rPr>
                <w:rFonts w:ascii="Arial" w:cs="Arial" w:eastAsia="Arial" w:hAnsi="Arial"/>
                <w:sz w:val="14"/>
                <w:szCs w:val="14"/>
                <w:b w:val="1"/>
                <w:bCs w:val="1"/>
                <w:color w:val="auto"/>
              </w:rPr>
              <w:t>December 31, 2011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Borders>
              <w:top w:val="single" w:sz="8" w:color="auto"/>
            </w:tcBorders>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Average</w:t>
            </w: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center"/>
              <w:ind w:left="347"/>
              <w:spacing w:after="0" w:line="119" w:lineRule="exact"/>
              <w:rPr>
                <w:sz w:val="20"/>
                <w:szCs w:val="20"/>
                <w:color w:val="auto"/>
              </w:rPr>
            </w:pPr>
            <w:r>
              <w:rPr>
                <w:rFonts w:ascii="Arial" w:cs="Arial" w:eastAsia="Arial" w:hAnsi="Arial"/>
                <w:sz w:val="13"/>
                <w:szCs w:val="13"/>
                <w:b w:val="1"/>
                <w:bCs w:val="1"/>
                <w:color w:val="auto"/>
              </w:rPr>
              <w:t>Interest</w:t>
            </w: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4"/>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Average</w:t>
            </w: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234"/>
              <w:spacing w:after="0" w:line="119"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2"/>
                <w:szCs w:val="12"/>
                <w:color w:val="auto"/>
              </w:rPr>
            </w:pPr>
          </w:p>
        </w:tc>
        <w:tc>
          <w:tcPr>
            <w:tcW w:w="980" w:type="dxa"/>
            <w:vAlign w:val="bottom"/>
            <w:gridSpan w:val="3"/>
          </w:tcPr>
          <w:p>
            <w:pPr>
              <w:jc w:val="center"/>
              <w:ind w:left="327"/>
              <w:spacing w:after="0" w:line="149" w:lineRule="exact"/>
              <w:rPr>
                <w:sz w:val="20"/>
                <w:szCs w:val="20"/>
                <w:color w:val="auto"/>
              </w:rPr>
            </w:pPr>
            <w:r>
              <w:rPr>
                <w:rFonts w:ascii="Arial" w:cs="Arial" w:eastAsia="Arial" w:hAnsi="Arial"/>
                <w:sz w:val="14"/>
                <w:szCs w:val="14"/>
                <w:b w:val="1"/>
                <w:bCs w:val="1"/>
                <w:color w:val="auto"/>
                <w:w w:val="93"/>
              </w:rPr>
              <w:t>Income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4"/>
                <w:szCs w:val="14"/>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Recognized</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8"/>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Impaired loans without a valuation allowance:</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84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-5517515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-5517515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1,148</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Commercial business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340</w:t>
            </w: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578</w:t>
            </w:r>
          </w:p>
        </w:tc>
        <w:tc>
          <w:tcPr>
            <w:tcW w:w="6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268</w:t>
            </w: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469</w:t>
            </w:r>
          </w:p>
        </w:tc>
        <w:tc>
          <w:tcPr>
            <w:tcW w:w="6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678</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Purchased:</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Total impaired loans</w:t>
            </w:r>
          </w:p>
        </w:tc>
        <w:tc>
          <w:tcPr>
            <w:tcW w:w="94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300" w:type="dxa"/>
            <w:vAlign w:val="bottom"/>
          </w:tcPr>
          <w:p>
            <w:pPr>
              <w:spacing w:after="0"/>
              <w:rPr>
                <w:sz w:val="18"/>
                <w:szCs w:val="18"/>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280" w:type="dxa"/>
            <w:vAlign w:val="bottom"/>
          </w:tcPr>
          <w:p>
            <w:pPr>
              <w:spacing w:after="0"/>
              <w:rPr>
                <w:sz w:val="18"/>
                <w:szCs w:val="18"/>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utilizes a ten-point internal loan rating system for its purchased loan portfolio and originated commercial real estate, construction and commercial business loans as follows: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are beginning to show signs of potential weakness and are being closely monitored by management.</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 defined weakness or weaknesses that jeopardize the orderly liquidation of the debt.</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On an annual basis, or more often if needed, the Company formally reviews the ratings of all commercial real estate, construction, and commercial business loans.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commercial loans by risk rating.</w:t>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Loans rated 1- 6</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rated 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rated 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rated 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Loans rated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Loans rated 1- 6</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rated 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rated 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rated 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Loans rated 10</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December 31, 2012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Originated Portfolio</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vMerge w:val="restart"/>
          </w:tcPr>
          <w:p>
            <w:pPr>
              <w:jc w:val="center"/>
              <w:ind w:right="134"/>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Construction</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center"/>
              <w:ind w:right="195"/>
              <w:spacing w:after="0" w:line="119" w:lineRule="exact"/>
              <w:rPr>
                <w:sz w:val="20"/>
                <w:szCs w:val="20"/>
                <w:color w:val="auto"/>
              </w:rPr>
            </w:pPr>
            <w:r>
              <w:rPr>
                <w:rFonts w:ascii="Arial" w:cs="Arial" w:eastAsia="Arial" w:hAnsi="Arial"/>
                <w:sz w:val="13"/>
                <w:szCs w:val="13"/>
                <w:b w:val="1"/>
                <w:bCs w:val="1"/>
                <w:color w:val="auto"/>
              </w:rPr>
              <w:t>Commercial</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7"/>
              </w:rPr>
              <w:t>Portfolio</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00" w:type="dxa"/>
            <w:vAlign w:val="bottom"/>
            <w:gridSpan w:val="7"/>
          </w:tcPr>
          <w:p>
            <w:pPr>
              <w:jc w:val="center"/>
              <w:ind w:right="500"/>
              <w:spacing w:after="0" w:line="128"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99,849</w:t>
            </w: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280" w:type="dxa"/>
            <w:vAlign w:val="bottom"/>
            <w:gridSpan w:val="2"/>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16,819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17,134</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left="775"/>
              <w:spacing w:after="0"/>
              <w:rPr>
                <w:sz w:val="20"/>
                <w:szCs w:val="20"/>
                <w:color w:val="auto"/>
              </w:rPr>
            </w:pPr>
            <w:r>
              <w:rPr>
                <w:rFonts w:ascii="Arial" w:cs="Arial" w:eastAsia="Arial" w:hAnsi="Arial"/>
                <w:sz w:val="14"/>
                <w:szCs w:val="14"/>
                <w:b w:val="1"/>
                <w:bCs w:val="1"/>
                <w:color w:val="auto"/>
                <w:w w:val="92"/>
              </w:rPr>
              <w:t>June 30, 2012</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Originated Portfolio</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1"/>
              </w:rPr>
              <w:t>Construction</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center"/>
              <w:ind w:right="195"/>
              <w:spacing w:after="0" w:line="119" w:lineRule="exact"/>
              <w:rPr>
                <w:sz w:val="20"/>
                <w:szCs w:val="20"/>
                <w:color w:val="auto"/>
              </w:rPr>
            </w:pPr>
            <w:r>
              <w:rPr>
                <w:rFonts w:ascii="Arial" w:cs="Arial" w:eastAsia="Arial" w:hAnsi="Arial"/>
                <w:sz w:val="13"/>
                <w:szCs w:val="13"/>
                <w:b w:val="1"/>
                <w:bCs w:val="1"/>
                <w:color w:val="auto"/>
              </w:rPr>
              <w:t>Commercial</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7"/>
              </w:rPr>
              <w:t>Portfolio</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00" w:type="dxa"/>
            <w:vAlign w:val="bottom"/>
            <w:gridSpan w:val="7"/>
          </w:tcPr>
          <w:p>
            <w:pPr>
              <w:jc w:val="center"/>
              <w:ind w:right="500"/>
              <w:spacing w:after="0" w:line="128"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96,963</w:t>
            </w: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1,187</w:t>
            </w:r>
          </w:p>
        </w:tc>
        <w:tc>
          <w:tcPr>
            <w:tcW w:w="260" w:type="dxa"/>
            <w:vAlign w:val="bottom"/>
          </w:tcPr>
          <w:p>
            <w:pPr>
              <w:spacing w:after="0"/>
              <w:rPr>
                <w:sz w:val="18"/>
                <w:szCs w:val="18"/>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18,223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19,612</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-2348865</wp:posOffset>
            </wp:positionV>
            <wp:extent cx="627761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-2074545</wp:posOffset>
            </wp:positionV>
            <wp:extent cx="627761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-1800225</wp:posOffset>
            </wp:positionV>
            <wp:extent cx="627761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-857250</wp:posOffset>
            </wp:positionV>
            <wp:extent cx="627761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-582295</wp:posOffset>
            </wp:positionV>
            <wp:extent cx="627761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-307975</wp:posOffset>
            </wp:positionV>
            <wp:extent cx="627761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40"/>
          </w:cols>
          <w:pgMar w:left="240" w:top="140" w:right="199" w:bottom="0" w:gutter="0" w:footer="0" w:header="0"/>
          <w:type w:val="continuous"/>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left="45"/>
              <w:spacing w:after="0" w:line="119" w:lineRule="exact"/>
              <w:rPr>
                <w:sz w:val="20"/>
                <w:szCs w:val="20"/>
                <w:color w:val="auto"/>
              </w:rPr>
            </w:pPr>
            <w:r>
              <w:rPr>
                <w:rFonts w:ascii="Arial" w:cs="Arial" w:eastAsia="Arial" w:hAnsi="Arial"/>
                <w:sz w:val="13"/>
                <w:szCs w:val="13"/>
                <w:b w:val="1"/>
                <w:bCs w:val="1"/>
                <w:color w:val="auto"/>
                <w:w w:val="96"/>
              </w:rPr>
              <w:t>Past Due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Past Due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30-59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60-89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93"/>
              </w:rPr>
              <w:t>90 Days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90 Days or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97"/>
              </w:rPr>
              <w:t>More-Still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More-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Past</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Accrual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80" w:type="dxa"/>
            <w:vAlign w:val="bottom"/>
          </w:tcPr>
          <w:p>
            <w:pPr>
              <w:spacing w:after="0"/>
              <w:rPr>
                <w:sz w:val="14"/>
                <w:szCs w:val="14"/>
                <w:color w:val="auto"/>
              </w:rPr>
            </w:pPr>
          </w:p>
        </w:tc>
        <w:tc>
          <w:tcPr>
            <w:tcW w:w="860" w:type="dxa"/>
            <w:vAlign w:val="bottom"/>
          </w:tcPr>
          <w:p>
            <w:pPr>
              <w:jc w:val="center"/>
              <w:ind w:left="65"/>
              <w:spacing w:after="0"/>
              <w:rPr>
                <w:sz w:val="20"/>
                <w:szCs w:val="20"/>
                <w:color w:val="auto"/>
              </w:rPr>
            </w:pPr>
            <w:r>
              <w:rPr>
                <w:rFonts w:ascii="Arial" w:cs="Arial" w:eastAsia="Arial" w:hAnsi="Arial"/>
                <w:sz w:val="14"/>
                <w:szCs w:val="14"/>
                <w:b w:val="1"/>
                <w:bCs w:val="1"/>
                <w:color w:val="auto"/>
                <w:w w:val="92"/>
              </w:rPr>
              <w:t>Accruing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Nonaccrual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Due</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Current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Loans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6"/>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94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3,020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4,056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80,622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84,678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735</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1,109</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101,962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103,071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17,062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17,134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6,237</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252,622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Purchased portfolio:</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1,588</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3,626</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125,844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129,470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130,053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ind w:left="340"/>
              <w:spacing w:after="0"/>
              <w:rPr>
                <w:sz w:val="20"/>
                <w:szCs w:val="20"/>
                <w:color w:val="auto"/>
              </w:rPr>
            </w:pPr>
            <w:r>
              <w:rPr>
                <w:rFonts w:ascii="Arial" w:cs="Arial" w:eastAsia="Arial" w:hAnsi="Arial"/>
                <w:sz w:val="18"/>
                <w:szCs w:val="18"/>
                <w:color w:val="auto"/>
              </w:rPr>
              <w:t>Total loans</w:t>
            </w: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685"/>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2"/>
              </w:rPr>
              <w:t>June 30, 2012</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left="45"/>
              <w:spacing w:after="0" w:line="119" w:lineRule="exact"/>
              <w:rPr>
                <w:sz w:val="20"/>
                <w:szCs w:val="20"/>
                <w:color w:val="auto"/>
              </w:rPr>
            </w:pPr>
            <w:r>
              <w:rPr>
                <w:rFonts w:ascii="Arial" w:cs="Arial" w:eastAsia="Arial" w:hAnsi="Arial"/>
                <w:sz w:val="13"/>
                <w:szCs w:val="13"/>
                <w:b w:val="1"/>
                <w:bCs w:val="1"/>
                <w:color w:val="auto"/>
                <w:w w:val="96"/>
              </w:rPr>
              <w:t>Past Due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Past Due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30-59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60-89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93"/>
              </w:rPr>
              <w:t>90 Days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90 Days or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97"/>
              </w:rPr>
              <w:t>More-Still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More-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Past</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Accrual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80" w:type="dxa"/>
            <w:vAlign w:val="bottom"/>
          </w:tcPr>
          <w:p>
            <w:pPr>
              <w:spacing w:after="0"/>
              <w:rPr>
                <w:sz w:val="14"/>
                <w:szCs w:val="14"/>
                <w:color w:val="auto"/>
              </w:rPr>
            </w:pPr>
          </w:p>
        </w:tc>
        <w:tc>
          <w:tcPr>
            <w:tcW w:w="860" w:type="dxa"/>
            <w:vAlign w:val="bottom"/>
          </w:tcPr>
          <w:p>
            <w:pPr>
              <w:jc w:val="center"/>
              <w:ind w:left="65"/>
              <w:spacing w:after="0"/>
              <w:rPr>
                <w:sz w:val="20"/>
                <w:szCs w:val="20"/>
                <w:color w:val="auto"/>
              </w:rPr>
            </w:pPr>
            <w:r>
              <w:rPr>
                <w:rFonts w:ascii="Arial" w:cs="Arial" w:eastAsia="Arial" w:hAnsi="Arial"/>
                <w:sz w:val="14"/>
                <w:szCs w:val="14"/>
                <w:b w:val="1"/>
                <w:bCs w:val="1"/>
                <w:color w:val="auto"/>
                <w:w w:val="92"/>
              </w:rPr>
              <w:t>Accruing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Nonaccrual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Due</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Current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Loans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6"/>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94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2,907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87,593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90,944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99,571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100,196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18,604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19,612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Purchased portfolio:</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79,484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80,539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ind w:left="340"/>
              <w:spacing w:after="0"/>
              <w:rPr>
                <w:sz w:val="20"/>
                <w:szCs w:val="20"/>
                <w:color w:val="auto"/>
              </w:rPr>
            </w:pPr>
            <w:r>
              <w:rPr>
                <w:rFonts w:ascii="Arial" w:cs="Arial" w:eastAsia="Arial" w:hAnsi="Arial"/>
                <w:sz w:val="18"/>
                <w:szCs w:val="18"/>
                <w:color w:val="auto"/>
              </w:rPr>
              <w:t>Total loans</w:t>
            </w: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685"/>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356,254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table shows loans modified in a TDR for the periods indicated and the change in the recorded investment subsequent to the modifications occurring. Concessions occurring during the period included a combination of interest rate reductions and maturity extensions. There was no forgiveness of principal related to loans modified in a TDR during the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December 31, 2012</w:t>
            </w:r>
          </w:p>
        </w:tc>
        <w:tc>
          <w:tcPr>
            <w:tcW w:w="880" w:type="dxa"/>
            <w:vAlign w:val="bottom"/>
          </w:tcPr>
          <w:p>
            <w:pPr>
              <w:spacing w:after="0"/>
              <w:rPr>
                <w:sz w:val="14"/>
                <w:szCs w:val="14"/>
                <w:color w:val="auto"/>
              </w:rPr>
            </w:pPr>
          </w:p>
        </w:tc>
        <w:tc>
          <w:tcPr>
            <w:tcW w:w="3340" w:type="dxa"/>
            <w:vAlign w:val="bottom"/>
            <w:gridSpan w:val="9"/>
          </w:tcPr>
          <w:p>
            <w:pPr>
              <w:ind w:left="40"/>
              <w:spacing w:after="0"/>
              <w:rPr>
                <w:sz w:val="20"/>
                <w:szCs w:val="20"/>
                <w:color w:val="auto"/>
              </w:rPr>
            </w:pPr>
            <w:r>
              <w:rPr>
                <w:rFonts w:ascii="Arial" w:cs="Arial" w:eastAsia="Arial" w:hAnsi="Arial"/>
                <w:sz w:val="14"/>
                <w:szCs w:val="14"/>
                <w:b w:val="1"/>
                <w:bCs w:val="1"/>
                <w:color w:val="auto"/>
              </w:rPr>
              <w:t>Six Months Ended December 31, 2012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60" w:type="dxa"/>
            <w:vAlign w:val="bottom"/>
            <w:tcBorders>
              <w:top w:val="single" w:sz="8" w:color="auto"/>
            </w:tcBorders>
            <w:vMerge w:val="restart"/>
          </w:tcPr>
          <w:p>
            <w:pPr>
              <w:jc w:val="center"/>
              <w:ind w:left="128"/>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Recorded</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Recorded</w:t>
            </w:r>
          </w:p>
        </w:tc>
        <w:tc>
          <w:tcPr>
            <w:tcW w:w="220" w:type="dxa"/>
            <w:vAlign w:val="bottom"/>
          </w:tcPr>
          <w:p>
            <w:pPr>
              <w:spacing w:after="0"/>
              <w:rPr>
                <w:sz w:val="10"/>
                <w:szCs w:val="10"/>
                <w:color w:val="auto"/>
              </w:rPr>
            </w:pPr>
          </w:p>
        </w:tc>
        <w:tc>
          <w:tcPr>
            <w:tcW w:w="880" w:type="dxa"/>
            <w:vAlign w:val="bottom"/>
            <w:tcBorders>
              <w:top w:val="single" w:sz="8" w:color="auto"/>
            </w:tcBorders>
            <w:vMerge w:val="restart"/>
          </w:tcPr>
          <w:p>
            <w:pPr>
              <w:jc w:val="center"/>
              <w:ind w:left="68"/>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w w:val="99"/>
              </w:rPr>
              <w:t>Recorded</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Investment</w:t>
            </w: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3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60" w:type="dxa"/>
            <w:vAlign w:val="bottom"/>
          </w:tcPr>
          <w:p>
            <w:pPr>
              <w:jc w:val="center"/>
              <w:ind w:left="108"/>
              <w:spacing w:after="0"/>
              <w:rPr>
                <w:sz w:val="20"/>
                <w:szCs w:val="20"/>
                <w:color w:val="auto"/>
              </w:rPr>
            </w:pPr>
            <w:r>
              <w:rPr>
                <w:rFonts w:ascii="Arial" w:cs="Arial" w:eastAsia="Arial" w:hAnsi="Arial"/>
                <w:sz w:val="14"/>
                <w:szCs w:val="14"/>
                <w:b w:val="1"/>
                <w:bCs w:val="1"/>
                <w:color w:val="auto"/>
                <w:w w:val="91"/>
              </w:rPr>
              <w:t>Contracts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Pre-Modification</w:t>
            </w:r>
          </w:p>
        </w:tc>
        <w:tc>
          <w:tcPr>
            <w:tcW w:w="1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Post-Modification</w:t>
            </w:r>
          </w:p>
        </w:tc>
        <w:tc>
          <w:tcPr>
            <w:tcW w:w="88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Contracts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Pre-Modification</w:t>
            </w:r>
          </w:p>
        </w:tc>
        <w:tc>
          <w:tcPr>
            <w:tcW w:w="120" w:type="dxa"/>
            <w:vAlign w:val="bottom"/>
          </w:tcPr>
          <w:p>
            <w:pPr>
              <w:spacing w:after="0"/>
              <w:rPr>
                <w:sz w:val="14"/>
                <w:szCs w:val="1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8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Commercial business</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9</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Purchased portfolio:</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9</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Further, during the first quarter of Fiscal 2013, the Company identified approximately $1.1 million of residential and consumer loans for which the borrower’s obligation had been discharged in bankruptcy in a prior period. Under recent regulatory guidance, these loans are required to be classified as TDRs and are considered collateral dependent impaired loans.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68"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3080" w:type="dxa"/>
            <w:vAlign w:val="bottom"/>
            <w:gridSpan w:val="5"/>
          </w:tcPr>
          <w:p>
            <w:pPr>
              <w:ind w:left="9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560" w:type="dxa"/>
            <w:vAlign w:val="bottom"/>
          </w:tcPr>
          <w:p>
            <w:pPr>
              <w:spacing w:after="0"/>
              <w:rPr>
                <w:sz w:val="14"/>
                <w:szCs w:val="14"/>
                <w:color w:val="auto"/>
              </w:rPr>
            </w:pPr>
          </w:p>
        </w:tc>
        <w:tc>
          <w:tcPr>
            <w:tcW w:w="3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December 31, 2012</w:t>
            </w:r>
          </w:p>
        </w:tc>
        <w:tc>
          <w:tcPr>
            <w:tcW w:w="3080" w:type="dxa"/>
            <w:vAlign w:val="bottom"/>
            <w:gridSpan w:val="5"/>
          </w:tcPr>
          <w:p>
            <w:pPr>
              <w:ind w:left="900"/>
              <w:spacing w:after="0"/>
              <w:rPr>
                <w:sz w:val="20"/>
                <w:szCs w:val="20"/>
                <w:color w:val="auto"/>
              </w:rPr>
            </w:pPr>
            <w:r>
              <w:rPr>
                <w:rFonts w:ascii="Arial" w:cs="Arial" w:eastAsia="Arial" w:hAnsi="Arial"/>
                <w:sz w:val="14"/>
                <w:szCs w:val="14"/>
                <w:b w:val="1"/>
                <w:bCs w:val="1"/>
                <w:color w:val="auto"/>
              </w:rPr>
              <w:t>December 31, 2012</w:t>
            </w:r>
          </w:p>
        </w:tc>
      </w:tr>
      <w:tr>
        <w:trPr>
          <w:trHeight w:val="119"/>
        </w:trPr>
        <w:tc>
          <w:tcPr>
            <w:tcW w:w="2560" w:type="dxa"/>
            <w:vAlign w:val="bottom"/>
          </w:tcPr>
          <w:p>
            <w:pPr>
              <w:spacing w:after="0"/>
              <w:rPr>
                <w:sz w:val="10"/>
                <w:szCs w:val="10"/>
                <w:color w:val="auto"/>
              </w:rPr>
            </w:pPr>
          </w:p>
        </w:tc>
        <w:tc>
          <w:tcPr>
            <w:tcW w:w="1380" w:type="dxa"/>
            <w:vAlign w:val="bottom"/>
            <w:tcBorders>
              <w:top w:val="single" w:sz="8" w:color="auto"/>
            </w:tcBorders>
          </w:tcPr>
          <w:p>
            <w:pPr>
              <w:jc w:val="right"/>
              <w:ind w:right="279"/>
              <w:spacing w:after="0" w:line="119" w:lineRule="exact"/>
              <w:rPr>
                <w:sz w:val="20"/>
                <w:szCs w:val="20"/>
                <w:color w:val="auto"/>
              </w:rPr>
            </w:pPr>
            <w:r>
              <w:rPr>
                <w:rFonts w:ascii="Arial" w:cs="Arial" w:eastAsia="Arial" w:hAnsi="Arial"/>
                <w:sz w:val="13"/>
                <w:szCs w:val="13"/>
                <w:b w:val="1"/>
                <w:bCs w:val="1"/>
                <w:color w:val="auto"/>
              </w:rPr>
              <w:t>Number of</w:t>
            </w: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37"/>
              <w:spacing w:after="0" w:line="119" w:lineRule="exact"/>
              <w:rPr>
                <w:sz w:val="20"/>
                <w:szCs w:val="20"/>
                <w:color w:val="auto"/>
              </w:rPr>
            </w:pPr>
            <w:r>
              <w:rPr>
                <w:rFonts w:ascii="Arial" w:cs="Arial" w:eastAsia="Arial" w:hAnsi="Arial"/>
                <w:sz w:val="13"/>
                <w:szCs w:val="13"/>
                <w:b w:val="1"/>
                <w:bCs w:val="1"/>
                <w:color w:val="auto"/>
                <w:w w:val="96"/>
              </w:rPr>
              <w:t>Recorded</w:t>
            </w:r>
          </w:p>
        </w:tc>
        <w:tc>
          <w:tcPr>
            <w:tcW w:w="300" w:type="dxa"/>
            <w:vAlign w:val="bottom"/>
          </w:tcPr>
          <w:p>
            <w:pPr>
              <w:spacing w:after="0"/>
              <w:rPr>
                <w:sz w:val="10"/>
                <w:szCs w:val="10"/>
                <w:color w:val="auto"/>
              </w:rPr>
            </w:pPr>
          </w:p>
        </w:tc>
        <w:tc>
          <w:tcPr>
            <w:tcW w:w="1360" w:type="dxa"/>
            <w:vAlign w:val="bottom"/>
            <w:tcBorders>
              <w:top w:val="single" w:sz="8" w:color="auto"/>
            </w:tcBorders>
          </w:tcPr>
          <w:p>
            <w:pPr>
              <w:jc w:val="right"/>
              <w:ind w:right="279"/>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9"/>
              </w:rPr>
              <w:t>Recorded</w:t>
            </w:r>
          </w:p>
        </w:tc>
        <w:tc>
          <w:tcPr>
            <w:tcW w:w="100" w:type="dxa"/>
            <w:vAlign w:val="bottom"/>
          </w:tcPr>
          <w:p>
            <w:pPr>
              <w:spacing w:after="0"/>
              <w:rPr>
                <w:sz w:val="10"/>
                <w:szCs w:val="10"/>
                <w:color w:val="auto"/>
              </w:rPr>
            </w:pPr>
          </w:p>
        </w:tc>
      </w:tr>
      <w:tr>
        <w:trPr>
          <w:trHeight w:val="171"/>
        </w:trPr>
        <w:tc>
          <w:tcPr>
            <w:tcW w:w="2560" w:type="dxa"/>
            <w:vAlign w:val="bottom"/>
          </w:tcPr>
          <w:p>
            <w:pPr>
              <w:spacing w:after="0"/>
              <w:rPr>
                <w:sz w:val="14"/>
                <w:szCs w:val="14"/>
                <w:color w:val="auto"/>
              </w:rPr>
            </w:pPr>
          </w:p>
        </w:tc>
        <w:tc>
          <w:tcPr>
            <w:tcW w:w="1380" w:type="dxa"/>
            <w:vAlign w:val="bottom"/>
          </w:tcPr>
          <w:p>
            <w:pPr>
              <w:jc w:val="right"/>
              <w:ind w:right="319"/>
              <w:spacing w:after="0"/>
              <w:rPr>
                <w:sz w:val="20"/>
                <w:szCs w:val="20"/>
                <w:color w:val="auto"/>
              </w:rPr>
            </w:pPr>
            <w:r>
              <w:rPr>
                <w:rFonts w:ascii="Arial" w:cs="Arial" w:eastAsia="Arial" w:hAnsi="Arial"/>
                <w:sz w:val="14"/>
                <w:szCs w:val="14"/>
                <w:b w:val="1"/>
                <w:bCs w:val="1"/>
                <w:color w:val="auto"/>
              </w:rPr>
              <w:t>Contracts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Investment</w:t>
            </w:r>
          </w:p>
        </w:tc>
        <w:tc>
          <w:tcPr>
            <w:tcW w:w="1360" w:type="dxa"/>
            <w:vAlign w:val="bottom"/>
          </w:tcPr>
          <w:p>
            <w:pPr>
              <w:jc w:val="right"/>
              <w:ind w:right="299"/>
              <w:spacing w:after="0"/>
              <w:rPr>
                <w:sz w:val="20"/>
                <w:szCs w:val="20"/>
                <w:color w:val="auto"/>
              </w:rPr>
            </w:pPr>
            <w:r>
              <w:rPr>
                <w:rFonts w:ascii="Arial" w:cs="Arial" w:eastAsia="Arial" w:hAnsi="Arial"/>
                <w:sz w:val="14"/>
                <w:szCs w:val="14"/>
                <w:b w:val="1"/>
                <w:bCs w:val="1"/>
                <w:color w:val="auto"/>
              </w:rPr>
              <w:t>Contracts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r>
      <w:tr>
        <w:trPr>
          <w:trHeight w:val="142"/>
        </w:trPr>
        <w:tc>
          <w:tcPr>
            <w:tcW w:w="25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3"/>
          </w:tcPr>
          <w:p>
            <w:pPr>
              <w:jc w:val="right"/>
              <w:ind w:right="779"/>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r>
      <w:tr>
        <w:trPr>
          <w:trHeight w:val="216"/>
        </w:trPr>
        <w:tc>
          <w:tcPr>
            <w:tcW w:w="2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Court ordered concession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8"/>
                <w:szCs w:val="18"/>
                <w:color w:val="auto"/>
              </w:rPr>
            </w:pPr>
          </w:p>
        </w:tc>
      </w:tr>
      <w:tr>
        <w:trPr>
          <w:trHeight w:val="210"/>
        </w:trPr>
        <w:tc>
          <w:tcPr>
            <w:tcW w:w="25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3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One loan modified in a troubled debt restructuring in the last twelve months defaulted during the three and six months ended December 31, 2012; the recorded investment of such loan was $36 thousand. As of December 31, 2012, there were no further commitments to lend associated with loans modified in a TDR.</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were no loans modified in a TDR during the three or six months ended December 31, 2011. At December 31, 2011, there were no material payment defaults of loans modified in a TDR during the preceding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total TDRs as of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2012</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2012</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On Accrual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On Nonaccrual</w:t>
            </w:r>
          </w:p>
        </w:tc>
        <w:tc>
          <w:tcPr>
            <w:tcW w:w="260" w:type="dxa"/>
            <w:vAlign w:val="bottom"/>
          </w:tcPr>
          <w:p>
            <w:pPr>
              <w:spacing w:after="0"/>
              <w:rPr>
                <w:sz w:val="10"/>
                <w:szCs w:val="10"/>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On Accrual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On Nonaccrual</w:t>
            </w: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Status</w:t>
            </w: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Status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Status</w:t>
            </w: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5"/>
          </w:tcPr>
          <w:p>
            <w:pPr>
              <w:ind w:left="3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1,068</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At the 2012 annual meeting of shareholders held on November 28, 2012, the Company’s shareholders approved the Northeast Bancorp Amended and Restated 2010 Stock Option and Incentive Plan (the “Restated Plan”). The Restated Plan amends and restates the Northeast Bancorp 2010 Option and Incentive Plan (the “2010 Plan”). The key material differences between the 2010 Plan and the Restated Plan are:</w:t>
      </w:r>
    </w:p>
    <w:p>
      <w:pPr>
        <w:spacing w:after="0" w:line="166" w:lineRule="exact"/>
        <w:rPr>
          <w:sz w:val="20"/>
          <w:szCs w:val="20"/>
          <w:color w:val="auto"/>
        </w:rPr>
      </w:pPr>
    </w:p>
    <w:p>
      <w:pPr>
        <w:ind w:left="660" w:right="580" w:hanging="328"/>
        <w:spacing w:after="0" w:line="258"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maximum number of shares of common stock to be issued under the Restated Plan is increased by 600,000 shares, from 810,054 shares to 1,410,054 shares;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method by which shares subject to previously granted awards are added back to the Restated Plan has been revised so that the only shares added back to the Restated Plan are those subject to awards that are forfeited, canceled or otherwise terminated. The following shares shall not be added back to the Restated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w:t>
      </w:r>
    </w:p>
    <w:p>
      <w:pPr>
        <w:spacing w:after="0" w:line="2"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vesting periods are required for grants of restricted stock, restricted stock units and performance share awards; and</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 of the Restated Plan will now expire on November 28, 2022, while grants of incentive options under the Restated Plan may be made until September 21,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no incentive awards had been issued under the Restated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six months ended December 31, 2012 follows.</w:t>
      </w:r>
    </w:p>
    <w:p>
      <w:pPr>
        <w:spacing w:after="0" w:line="204"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54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796,049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(18,301)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Exercisable</w:t>
            </w:r>
          </w:p>
        </w:tc>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line="20" w:lineRule="exact"/>
              <w:rPr>
                <w:sz w:val="1"/>
                <w:szCs w:val="1"/>
                <w:color w:val="auto"/>
              </w:rPr>
            </w:pPr>
          </w:p>
        </w:tc>
      </w:tr>
      <w:tr>
        <w:trPr>
          <w:trHeight w:val="197"/>
        </w:trPr>
        <w:tc>
          <w:tcPr>
            <w:tcW w:w="372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126,714</w:t>
            </w: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stock options outstanding at December 31, 2012.</w:t>
      </w:r>
    </w:p>
    <w:p>
      <w:pPr>
        <w:sectPr>
          <w:pgSz w:w="11900" w:h="16838" w:orient="portrait"/>
          <w:cols w:equalWidth="0" w:num="1">
            <w:col w:w="11460"/>
          </w:cols>
          <w:pgMar w:left="240" w:top="125" w:right="199" w:bottom="0" w:gutter="0" w:footer="0" w:header="0"/>
          <w:type w:val="continuous"/>
        </w:sectPr>
      </w:pPr>
    </w:p>
    <w:bookmarkStart w:id="15" w:name="page16"/>
    <w:bookmarkEnd w:id="15"/>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1"/>
              </w:rPr>
              <w:t>Options Outstanding</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Options Exercisable</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7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center"/>
              <w:ind w:right="160"/>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7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Exercise Price</w:t>
            </w:r>
          </w:p>
        </w:tc>
        <w:tc>
          <w:tcPr>
            <w:tcW w:w="1620" w:type="dxa"/>
            <w:vAlign w:val="bottom"/>
            <w:gridSpan w:val="3"/>
            <w:vMerge w:val="continue"/>
          </w:tcPr>
          <w:p>
            <w:pPr>
              <w:spacing w:after="0"/>
              <w:rPr>
                <w:sz w:val="14"/>
                <w:szCs w:val="1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Exercise Price</w:t>
            </w:r>
          </w:p>
        </w:tc>
        <w:tc>
          <w:tcPr>
            <w:tcW w:w="1360" w:type="dxa"/>
            <w:vAlign w:val="bottom"/>
            <w:gridSpan w:val="3"/>
            <w:vMerge w:val="continue"/>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right="160"/>
              <w:spacing w:after="0"/>
              <w:rPr>
                <w:sz w:val="20"/>
                <w:szCs w:val="20"/>
                <w:color w:val="auto"/>
              </w:rPr>
            </w:pPr>
            <w:r>
              <w:rPr>
                <w:rFonts w:ascii="Arial" w:cs="Arial" w:eastAsia="Arial" w:hAnsi="Arial"/>
                <w:sz w:val="18"/>
                <w:szCs w:val="18"/>
                <w:color w:val="auto"/>
                <w:w w:val="86"/>
              </w:rPr>
              <w:t>9.1 years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5"/>
                <w:szCs w:val="15"/>
                <w:color w:val="auto"/>
                <w:w w:val="71"/>
              </w:rPr>
              <w:t>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9.1 years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583,238</w:t>
            </w:r>
          </w:p>
        </w:tc>
        <w:tc>
          <w:tcPr>
            <w:tcW w:w="240" w:type="dxa"/>
            <w:vAlign w:val="bottom"/>
          </w:tcPr>
          <w:p>
            <w:pPr>
              <w:spacing w:after="0"/>
              <w:rPr>
                <w:sz w:val="18"/>
                <w:szCs w:val="18"/>
                <w:color w:val="auto"/>
              </w:rPr>
            </w:pPr>
          </w:p>
        </w:tc>
        <w:tc>
          <w:tcPr>
            <w:tcW w:w="920" w:type="dxa"/>
            <w:vAlign w:val="bottom"/>
          </w:tcPr>
          <w:p>
            <w:pPr>
              <w:jc w:val="center"/>
              <w:ind w:right="160"/>
              <w:spacing w:after="0"/>
              <w:rPr>
                <w:sz w:val="20"/>
                <w:szCs w:val="20"/>
                <w:color w:val="auto"/>
              </w:rPr>
            </w:pPr>
            <w:r>
              <w:rPr>
                <w:rFonts w:ascii="Arial" w:cs="Arial" w:eastAsia="Arial" w:hAnsi="Arial"/>
                <w:sz w:val="18"/>
                <w:szCs w:val="18"/>
                <w:color w:val="auto"/>
                <w:w w:val="86"/>
              </w:rPr>
              <w:t>8.0 years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13.93</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94,312</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8.0 years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60"/>
              <w:spacing w:after="0"/>
              <w:rPr>
                <w:sz w:val="20"/>
                <w:szCs w:val="20"/>
                <w:color w:val="auto"/>
              </w:rPr>
            </w:pPr>
            <w:r>
              <w:rPr>
                <w:rFonts w:ascii="Arial" w:cs="Arial" w:eastAsia="Arial" w:hAnsi="Arial"/>
                <w:sz w:val="18"/>
                <w:szCs w:val="18"/>
                <w:color w:val="auto"/>
                <w:w w:val="86"/>
              </w:rPr>
              <w:t>8.0 years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14.52</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32,402</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8.0 years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777,748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60"/>
              <w:spacing w:after="0"/>
              <w:rPr>
                <w:sz w:val="20"/>
                <w:szCs w:val="20"/>
                <w:color w:val="auto"/>
              </w:rPr>
            </w:pPr>
            <w:r>
              <w:rPr>
                <w:rFonts w:ascii="Arial" w:cs="Arial" w:eastAsia="Arial" w:hAnsi="Arial"/>
                <w:sz w:val="18"/>
                <w:szCs w:val="18"/>
                <w:color w:val="auto"/>
                <w:w w:val="86"/>
              </w:rPr>
              <w:t>8.1 years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14.08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126,714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8.1 years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all unvested stock options outstanding are expected to vest.</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December 29, 2010, the Company granted a restricted stock award of 13,026 shares of the Company’s common stock to a senior executive of the Company. The holder of this award participates fully in the rewards of stock ownership of the Company, including voting rights and dividend rights. This award was determined to have a fair value of $13.93 per share based on the average price at which the Company’s common stock traded on the date of grant. Forty percent of the award vested on December 29, 2012, and the remainder will vest in three equal annual installments commencing on December 29, 2013.</w:t>
      </w:r>
    </w:p>
    <w:p>
      <w:pPr>
        <w:spacing w:after="0" w:line="154"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At December 31, 2012, the Company has accrued a liability of $48 thousand representing the maximum cash payment for performance-based stock appreciation rights (“SARs”) granted in the fiscal year ended June 30, 2011. The SARs expire in December of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amount and timing of future pre-tax stock-based compensation expense to be recognized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3"/>
              </w:rPr>
              <w:t>Fiscal Years Ending June 30,</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216"/>
        </w:trPr>
        <w:tc>
          <w:tcPr>
            <w:tcW w:w="130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Restricted stock</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76"/>
              <w:spacing w:after="0"/>
              <w:rPr>
                <w:sz w:val="20"/>
                <w:szCs w:val="20"/>
                <w:color w:val="auto"/>
              </w:rPr>
            </w:pPr>
            <w:r>
              <w:rPr>
                <w:rFonts w:ascii="Arial" w:cs="Arial" w:eastAsia="Arial" w:hAnsi="Arial"/>
                <w:sz w:val="18"/>
                <w:szCs w:val="18"/>
                <w:color w:val="auto"/>
                <w:w w:val="99"/>
              </w:rPr>
              <w:t>21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August 31, 2011, the Company sold customer lists and certain fixed assets of its wholly-owned subsidiary, Northeast Bank Insurance Group, Inc. (“NBIG”), to local insurance agencies in two separate transactions. The Varney Agency, Inc. of Bangor, Maine, purchased the assets of nine NBIG offices in Anson, Auburn, Augusta, Bethel, Livermore Falls, Scarborough, South Paris, Thomaston and Turner, Maine. The NBIG office in Berwick, Maine, which operates under the name of Spence &amp; Matthews, was acquired by Bradley Scott, previously a member of NBIG’s senior management team. The following is a summary of the sale transactions recorded during the six months ended December 31, 2011 (dollars in thousands).</w:t>
      </w:r>
    </w:p>
    <w:p>
      <w:pPr>
        <w:spacing w:after="0" w:line="187"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 proceeds</w:t>
            </w:r>
          </w:p>
        </w:tc>
        <w:tc>
          <w:tcPr>
            <w:tcW w:w="5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9,726</w:t>
            </w: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lists and other intangible assets, net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7,379</w:t>
            </w: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Fixed assets, net of accumulated depreciation</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other direct expenses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Pre-tax gain recognized</w:t>
            </w: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Subsequent to December 31, 2011, the Company recognized additional gain on sale of discontinued operations of $37 thousand representing contingent proceeds received, net of expenses. The total gain on sale of discontinued operations was $1.6 million for Fiscal 2012.</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Operations associated with NBIG for the periods presented have been classified as discontinued operations in the accompanying consolidated statements of income. The Company has eliminated all intercompany transactions in presenting discontinued operations for each period. In connection with the transaction, the Company repaid borrowings associated with NBIG totaling $2.1 million.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Three months Ended December 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(Dollars in thousands, except share and per share data)</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Preferred stock dividends and accretion</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common shareholders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shares used in calculation of basic EPS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10,383,441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10,383,441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Incremental shares from assumed exercise of dilutive</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17,496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98" w:orient="portrait"/>
          <w:cols w:equalWidth="0" w:num="1">
            <w:col w:w="11460"/>
          </w:cols>
          <w:pgMar w:left="240" w:top="333" w:right="19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securities</w:t>
            </w:r>
          </w:p>
        </w:tc>
        <w:tc>
          <w:tcPr>
            <w:tcW w:w="3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Weighted average shares used in calculation of diluted EPS</w:t>
            </w: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6"/>
              </w:rPr>
              <w:t>10,383,441</w:t>
            </w: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3,511,994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10,383,441</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3,494,498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6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0.12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0.00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50"/>
        </w:trPr>
        <w:tc>
          <w:tcPr>
            <w:tcW w:w="464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3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9"/>
              </w:rPr>
              <w:t>0.12</w:t>
            </w:r>
          </w:p>
        </w:tc>
        <w:tc>
          <w:tcPr>
            <w:tcW w:w="3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6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0.12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Average anti-dilutive options and warrants excluded from the calculation of dilutive earnings per share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 December 31,</w:t>
            </w:r>
          </w:p>
        </w:tc>
        <w:tc>
          <w:tcPr>
            <w:tcW w:w="31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December 31,</w:t>
            </w:r>
          </w:p>
        </w:tc>
        <w:tc>
          <w:tcPr>
            <w:tcW w:w="238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238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783,149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756,049</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787,449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756,049</w:t>
            </w:r>
          </w:p>
        </w:tc>
        <w:tc>
          <w:tcPr>
            <w:tcW w:w="120" w:type="dxa"/>
            <w:vAlign w:val="bottom"/>
            <w:shd w:val="clear" w:color="auto" w:fill="CCEEFF"/>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Warrants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65,742</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67,958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66,850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67,958</w:t>
            </w:r>
          </w:p>
        </w:tc>
        <w:tc>
          <w:tcPr>
            <w:tcW w:w="23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824,007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3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2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 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w:t>
      </w:r>
    </w:p>
    <w:p>
      <w:pPr>
        <w:spacing w:after="0" w:line="17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660" w:right="380"/>
        <w:spacing w:after="0" w:line="342" w:lineRule="auto"/>
        <w:rPr>
          <w:sz w:val="20"/>
          <w:szCs w:val="20"/>
          <w:color w:val="auto"/>
        </w:rPr>
      </w:pPr>
      <w:r>
        <w:rPr>
          <w:rFonts w:ascii="Arial" w:cs="Arial" w:eastAsia="Arial" w:hAnsi="Arial"/>
          <w:sz w:val="16"/>
          <w:szCs w:val="16"/>
          <w:color w:val="auto"/>
        </w:rPr>
        <w:t>Level 2 — Valuations based on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Examples of such instruments include publicly-traded common and preferred stocks. If quoted prices are not available, then fair values are estimated by using pricing models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660" w:right="380"/>
        <w:spacing w:after="0" w:line="297"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58" w:lineRule="exact"/>
        <w:rPr>
          <w:sz w:val="20"/>
          <w:szCs w:val="20"/>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ectPr>
          <w:pgSz w:w="11900" w:h="16838" w:orient="portrait"/>
          <w:cols w:equalWidth="0" w:num="1">
            <w:col w:w="11460"/>
          </w:cols>
          <w:pgMar w:left="240" w:top="125" w:right="19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and Liabilities Measured at Fair Value on a Nonrecurring Basis:</w:t>
      </w:r>
    </w:p>
    <w:p>
      <w:pPr>
        <w:sectPr>
          <w:pgSz w:w="11900" w:h="16838" w:orient="portrait"/>
          <w:cols w:equalWidth="0" w:num="1">
            <w:col w:w="11460"/>
          </w:cols>
          <w:pgMar w:left="240" w:top="125" w:right="199" w:bottom="0" w:gutter="0" w:footer="0" w:header="0"/>
          <w:type w:val="continuous"/>
        </w:sectPr>
      </w:pPr>
    </w:p>
    <w:bookmarkStart w:id="17" w:name="page18"/>
    <w:bookmarkEnd w:id="17"/>
    <w:p>
      <w:pPr>
        <w:ind w:left="660" w:right="640"/>
        <w:spacing w:after="0" w:line="342" w:lineRule="auto"/>
        <w:rPr>
          <w:sz w:val="20"/>
          <w:szCs w:val="20"/>
          <w:color w:val="auto"/>
        </w:rPr>
      </w:pPr>
      <w:r>
        <w:rPr>
          <w:rFonts w:ascii="Arial" w:cs="Arial" w:eastAsia="Arial" w:hAnsi="Arial"/>
          <w:sz w:val="16"/>
          <w:szCs w:val="16"/>
          <w:i w:val="1"/>
          <w:iCs w:val="1"/>
          <w:color w:val="auto"/>
        </w:rPr>
        <w:t xml:space="preserve">Impaired Loans </w:t>
      </w:r>
      <w:r>
        <w:rPr>
          <w:rFonts w:ascii="Arial" w:cs="Arial" w:eastAsia="Arial" w:hAnsi="Arial"/>
          <w:sz w:val="16"/>
          <w:szCs w:val="16"/>
          <w:color w:val="auto"/>
        </w:rPr>
        <w:t>- Valuations of impaired loans measured at fair value are determined by a review of collateral values. Certain inputs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appraisals are not always observable, and therefore impaired loans are generally categorized as Level 3 within the fair value hierarchy.</w:t>
      </w:r>
    </w:p>
    <w:p>
      <w:pPr>
        <w:spacing w:after="0" w:line="124"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i w:val="1"/>
          <w:iCs w:val="1"/>
          <w:color w:val="auto"/>
        </w:rPr>
        <w:t xml:space="preserve">Repossessed collateral </w:t>
      </w:r>
      <w:r>
        <w:rPr>
          <w:rFonts w:ascii="Arial" w:cs="Arial" w:eastAsia="Arial" w:hAnsi="Arial"/>
          <w:sz w:val="17"/>
          <w:szCs w:val="17"/>
          <w:color w:val="auto"/>
        </w:rPr>
        <w:t>- The fair values of other real estate owned and other repossessed collateral are estimated based upon appraised values less</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costs to sell. Certain inputs used in appraisals are not always observable, and therefore repossessed collateral may be categorized as Level 3 within the fair value hierarchy. When inputs used in appraisals are primarily observable, they are classified as Level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FHLB overnight deposits approximates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book values, as these financial instruments have short maturities.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FHLB and Federal Reserve stock </w:t>
      </w:r>
      <w:r>
        <w:rPr>
          <w:rFonts w:ascii="Arial" w:cs="Arial" w:eastAsia="Arial" w:hAnsi="Arial"/>
          <w:sz w:val="18"/>
          <w:szCs w:val="18"/>
          <w:color w:val="auto"/>
        </w:rPr>
        <w:t>- The carrying value of FHLB stock and Federal Reserve stock approximates fair value based on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FHLB and the Federal Reserve.</w:t>
      </w:r>
    </w:p>
    <w:p>
      <w:pPr>
        <w:spacing w:after="0" w:line="170" w:lineRule="exact"/>
        <w:rPr>
          <w:sz w:val="20"/>
          <w:szCs w:val="20"/>
          <w:color w:val="auto"/>
        </w:rPr>
      </w:pPr>
    </w:p>
    <w:p>
      <w:pPr>
        <w:ind w:left="660" w:right="28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ninety days. Therefore, this financial instrument has been adjusted for estimated credit loss.</w:t>
      </w:r>
    </w:p>
    <w:p>
      <w:pPr>
        <w:spacing w:after="0" w:line="181" w:lineRule="exact"/>
        <w:rPr>
          <w:sz w:val="20"/>
          <w:szCs w:val="20"/>
          <w:color w:val="auto"/>
        </w:rPr>
      </w:pPr>
    </w:p>
    <w:p>
      <w:pPr>
        <w:ind w:left="660" w:right="40"/>
        <w:spacing w:after="0" w:line="276" w:lineRule="auto"/>
        <w:rPr>
          <w:sz w:val="20"/>
          <w:szCs w:val="20"/>
          <w:color w:val="auto"/>
        </w:rPr>
      </w:pPr>
      <w:r>
        <w:rPr>
          <w:rFonts w:ascii="Arial" w:cs="Arial" w:eastAsia="Arial" w:hAnsi="Arial"/>
          <w:sz w:val="17"/>
          <w:szCs w:val="17"/>
          <w:i w:val="1"/>
          <w:iCs w:val="1"/>
          <w:color w:val="auto"/>
        </w:rPr>
        <w:t xml:space="preserve">Deposits </w:t>
      </w:r>
      <w:r>
        <w:rPr>
          <w:rFonts w:ascii="Arial" w:cs="Arial" w:eastAsia="Arial" w:hAnsi="Arial"/>
          <w:sz w:val="17"/>
          <w:szCs w:val="17"/>
          <w:color w:val="auto"/>
        </w:rPr>
        <w:t>- The fair value of deposits with no stated maturity, such as noninterest-bearing demand deposits, savings, NOW accounts and money</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73" w:lineRule="exact"/>
        <w:rPr>
          <w:sz w:val="20"/>
          <w:szCs w:val="20"/>
          <w:color w:val="auto"/>
        </w:rPr>
      </w:pPr>
    </w:p>
    <w:p>
      <w:pPr>
        <w:ind w:left="660" w:right="240"/>
        <w:spacing w:after="0" w:line="279" w:lineRule="auto"/>
        <w:rPr>
          <w:sz w:val="20"/>
          <w:szCs w:val="20"/>
          <w:color w:val="auto"/>
        </w:rPr>
      </w:pPr>
      <w:r>
        <w:rPr>
          <w:rFonts w:ascii="Arial" w:cs="Arial" w:eastAsia="Arial" w:hAnsi="Arial"/>
          <w:sz w:val="17"/>
          <w:szCs w:val="17"/>
          <w:i w:val="1"/>
          <w:iCs w:val="1"/>
          <w:color w:val="auto"/>
        </w:rPr>
        <w:t xml:space="preserve">Borrowings </w:t>
      </w:r>
      <w:r>
        <w:rPr>
          <w:rFonts w:ascii="Arial" w:cs="Arial" w:eastAsia="Arial" w:hAnsi="Arial"/>
          <w:sz w:val="17"/>
          <w:szCs w:val="17"/>
          <w:color w:val="auto"/>
        </w:rPr>
        <w:t>- The fair value of the Company’s borrowings with the FHLB is estimated by discounting the cash flows through maturity or the next</w:t>
      </w:r>
      <w:r>
        <w:rPr>
          <w:rFonts w:ascii="Arial" w:cs="Arial" w:eastAsia="Arial" w:hAnsi="Arial"/>
          <w:sz w:val="17"/>
          <w:szCs w:val="17"/>
          <w:i w:val="1"/>
          <w:iCs w:val="1"/>
          <w:color w:val="auto"/>
        </w:rPr>
        <w:t xml:space="preserve"> </w:t>
      </w:r>
      <w:r>
        <w:rPr>
          <w:rFonts w:ascii="Arial" w:cs="Arial" w:eastAsia="Arial" w:hAnsi="Arial"/>
          <w:sz w:val="17"/>
          <w:szCs w:val="17"/>
          <w:color w:val="auto"/>
        </w:rPr>
        <w:t>repricing date based on current rates available to the Company for borrowings with similar maturities. The fair value of the Company’s short-term borrowings, capital lease obligations, structured repurchase agreements and other borrowings is estimated by discounting the cash flows through maturity based on current rates available to the Company for borrowings with similar maturities.</w:t>
      </w:r>
    </w:p>
    <w:p>
      <w:pPr>
        <w:spacing w:after="0" w:line="171"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left="538"/>
              <w:spacing w:after="0"/>
              <w:rPr>
                <w:sz w:val="20"/>
                <w:szCs w:val="20"/>
                <w:color w:val="auto"/>
              </w:rPr>
            </w:pPr>
            <w:r>
              <w:rPr>
                <w:rFonts w:ascii="Arial" w:cs="Arial" w:eastAsia="Arial" w:hAnsi="Arial"/>
                <w:sz w:val="14"/>
                <w:szCs w:val="14"/>
                <w:b w:val="1"/>
                <w:bCs w:val="1"/>
                <w:color w:val="auto"/>
                <w:w w:val="91"/>
              </w:rPr>
              <w:t>December 31, 2012</w:t>
            </w: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18"/>
              <w:spacing w:after="0" w:line="142" w:lineRule="exact"/>
              <w:rPr>
                <w:sz w:val="20"/>
                <w:szCs w:val="20"/>
                <w:color w:val="auto"/>
              </w:rPr>
            </w:pPr>
            <w:r>
              <w:rPr>
                <w:rFonts w:ascii="Arial" w:cs="Arial" w:eastAsia="Arial" w:hAnsi="Arial"/>
                <w:sz w:val="14"/>
                <w:szCs w:val="14"/>
                <w:b w:val="1"/>
                <w:bCs w:val="1"/>
                <w:color w:val="auto"/>
              </w:rPr>
              <w:t>Level 1</w:t>
            </w:r>
          </w:p>
        </w:tc>
        <w:tc>
          <w:tcPr>
            <w:tcW w:w="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w w:val="92"/>
              </w:rPr>
              <w:t>Level 2</w:t>
            </w: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gridSpan w:val="3"/>
          </w:tcPr>
          <w:p>
            <w:pPr>
              <w:jc w:val="center"/>
              <w:ind w:right="35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45,618</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45,618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88,745</w:t>
            </w:r>
          </w:p>
        </w:tc>
        <w:tc>
          <w:tcPr>
            <w:tcW w:w="420" w:type="dxa"/>
            <w:vAlign w:val="bottom"/>
          </w:tcPr>
          <w:p>
            <w:pPr>
              <w:spacing w:after="0"/>
              <w:rPr>
                <w:sz w:val="18"/>
                <w:szCs w:val="18"/>
                <w:color w:val="auto"/>
              </w:rPr>
            </w:pPr>
          </w:p>
        </w:tc>
        <w:tc>
          <w:tcPr>
            <w:tcW w:w="1240" w:type="dxa"/>
            <w:vAlign w:val="bottom"/>
          </w:tcPr>
          <w:p>
            <w:pPr>
              <w:jc w:val="right"/>
              <w:ind w:right="58"/>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88,745</w:t>
            </w:r>
          </w:p>
        </w:tc>
        <w:tc>
          <w:tcPr>
            <w:tcW w:w="40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514</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514</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498"/>
              <w:spacing w:after="0"/>
              <w:rPr>
                <w:sz w:val="20"/>
                <w:szCs w:val="20"/>
                <w:color w:val="auto"/>
              </w:rPr>
            </w:pPr>
            <w:r>
              <w:rPr>
                <w:rFonts w:ascii="Arial" w:cs="Arial" w:eastAsia="Arial" w:hAnsi="Arial"/>
                <w:sz w:val="14"/>
                <w:szCs w:val="14"/>
                <w:b w:val="1"/>
                <w:bCs w:val="1"/>
                <w:color w:val="auto"/>
                <w:w w:val="92"/>
              </w:rPr>
              <w:t>June 30, 2012</w:t>
            </w: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18"/>
              <w:spacing w:after="0" w:line="142" w:lineRule="exact"/>
              <w:rPr>
                <w:sz w:val="20"/>
                <w:szCs w:val="20"/>
                <w:color w:val="auto"/>
              </w:rPr>
            </w:pPr>
            <w:r>
              <w:rPr>
                <w:rFonts w:ascii="Arial" w:cs="Arial" w:eastAsia="Arial" w:hAnsi="Arial"/>
                <w:sz w:val="14"/>
                <w:szCs w:val="14"/>
                <w:b w:val="1"/>
                <w:bCs w:val="1"/>
                <w:color w:val="auto"/>
              </w:rPr>
              <w:t>Level 1</w:t>
            </w:r>
          </w:p>
        </w:tc>
        <w:tc>
          <w:tcPr>
            <w:tcW w:w="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w w:val="92"/>
              </w:rPr>
              <w:t>Level 2</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gridSpan w:val="3"/>
          </w:tcPr>
          <w:p>
            <w:pPr>
              <w:jc w:val="center"/>
              <w:ind w:right="39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45,808</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45,808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87,456</w:t>
            </w:r>
          </w:p>
        </w:tc>
        <w:tc>
          <w:tcPr>
            <w:tcW w:w="420" w:type="dxa"/>
            <w:vAlign w:val="bottom"/>
          </w:tcPr>
          <w:p>
            <w:pPr>
              <w:spacing w:after="0"/>
              <w:rPr>
                <w:sz w:val="18"/>
                <w:szCs w:val="18"/>
                <w:color w:val="auto"/>
              </w:rPr>
            </w:pPr>
          </w:p>
        </w:tc>
        <w:tc>
          <w:tcPr>
            <w:tcW w:w="1240" w:type="dxa"/>
            <w:vAlign w:val="bottom"/>
          </w:tcPr>
          <w:p>
            <w:pPr>
              <w:jc w:val="right"/>
              <w:ind w:right="58"/>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87,456</w:t>
            </w: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580</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580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significant transfers between the three levels of the fair value hierarchy for the three and six months ended December 31, 2012 or 2011.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2012</w:t>
            </w: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01"/>
              <w:spacing w:after="0" w:line="142" w:lineRule="exact"/>
              <w:rPr>
                <w:sz w:val="20"/>
                <w:szCs w:val="20"/>
                <w:color w:val="auto"/>
              </w:rPr>
            </w:pPr>
            <w:r>
              <w:rPr>
                <w:rFonts w:ascii="Arial" w:cs="Arial" w:eastAsia="Arial" w:hAnsi="Arial"/>
                <w:sz w:val="14"/>
                <w:szCs w:val="14"/>
                <w:b w:val="1"/>
                <w:bCs w:val="1"/>
                <w:color w:val="auto"/>
              </w:rPr>
              <w:t>Level 1</w:t>
            </w:r>
          </w:p>
        </w:tc>
        <w:tc>
          <w:tcPr>
            <w:tcW w:w="10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1,346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1,346</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Repossessed collateral</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1,117</w:t>
            </w:r>
          </w:p>
        </w:tc>
        <w:tc>
          <w:tcPr>
            <w:tcW w:w="36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06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28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2012</w:t>
            </w: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21"/>
              <w:spacing w:after="0" w:line="142" w:lineRule="exact"/>
              <w:rPr>
                <w:sz w:val="20"/>
                <w:szCs w:val="20"/>
                <w:color w:val="auto"/>
              </w:rPr>
            </w:pPr>
            <w:r>
              <w:rPr>
                <w:rFonts w:ascii="Arial" w:cs="Arial" w:eastAsia="Arial" w:hAnsi="Arial"/>
                <w:sz w:val="14"/>
                <w:szCs w:val="14"/>
                <w:b w:val="1"/>
                <w:bCs w:val="1"/>
                <w:color w:val="auto"/>
              </w:rPr>
              <w:t>Level 1</w:t>
            </w:r>
          </w:p>
        </w:tc>
        <w:tc>
          <w:tcPr>
            <w:tcW w:w="10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1,103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1,103</w:t>
            </w:r>
          </w:p>
        </w:tc>
        <w:tc>
          <w:tcPr>
            <w:tcW w:w="20" w:type="dxa"/>
            <w:vAlign w:val="bottom"/>
            <w:shd w:val="clear" w:color="auto" w:fill="CCEEFF"/>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Repossessed collateral</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834</w:t>
            </w:r>
          </w:p>
        </w:tc>
        <w:tc>
          <w:tcPr>
            <w:tcW w:w="36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06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Fair Value Measurements at December 31, 2012</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12"/>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11"/>
              <w:spacing w:after="0" w:line="142" w:lineRule="exact"/>
              <w:rPr>
                <w:sz w:val="20"/>
                <w:szCs w:val="20"/>
                <w:color w:val="auto"/>
              </w:rPr>
            </w:pPr>
            <w:r>
              <w:rPr>
                <w:rFonts w:ascii="Arial" w:cs="Arial" w:eastAsia="Arial" w:hAnsi="Arial"/>
                <w:sz w:val="14"/>
                <w:szCs w:val="14"/>
                <w:b w:val="1"/>
                <w:bCs w:val="1"/>
                <w:color w:val="auto"/>
                <w:w w:val="92"/>
              </w:rPr>
              <w:t>Level 1</w:t>
            </w: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34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127,612</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127,612</w:t>
            </w:r>
          </w:p>
        </w:tc>
        <w:tc>
          <w:tcPr>
            <w:tcW w:w="4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127,612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133,363</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133,363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Regulatory stock</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5,473</w:t>
            </w:r>
          </w:p>
        </w:tc>
        <w:tc>
          <w:tcPr>
            <w:tcW w:w="44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5,473</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8,267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391,708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410,313</w:t>
            </w:r>
          </w:p>
        </w:tc>
        <w:tc>
          <w:tcPr>
            <w:tcW w:w="44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410,313</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2,068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32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18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501,518</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504,651</w:t>
            </w:r>
          </w:p>
        </w:tc>
        <w:tc>
          <w:tcPr>
            <w:tcW w:w="4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ind w:right="151"/>
              <w:spacing w:after="0"/>
              <w:rPr>
                <w:sz w:val="20"/>
                <w:szCs w:val="20"/>
                <w:color w:val="auto"/>
              </w:rPr>
            </w:pPr>
            <w:r>
              <w:rPr>
                <w:rFonts w:ascii="Arial" w:cs="Arial" w:eastAsia="Arial" w:hAnsi="Arial"/>
                <w:sz w:val="18"/>
                <w:szCs w:val="18"/>
                <w:color w:val="auto"/>
              </w:rPr>
              <w:t>504,651</w:t>
            </w: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 advances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45,190</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45,190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Structured repurchase agreements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26,622</w:t>
            </w:r>
          </w:p>
        </w:tc>
        <w:tc>
          <w:tcPr>
            <w:tcW w:w="44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26,622</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1,570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2,105</w:t>
            </w:r>
          </w:p>
        </w:tc>
        <w:tc>
          <w:tcPr>
            <w:tcW w:w="44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2,105</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8,040</w:t>
            </w: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514</w:t>
            </w:r>
          </w:p>
        </w:tc>
        <w:tc>
          <w:tcPr>
            <w:tcW w:w="44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514</w:t>
            </w:r>
          </w:p>
        </w:tc>
        <w:tc>
          <w:tcPr>
            <w:tcW w:w="2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r>
      <w:tr>
        <w:trPr>
          <w:trHeight w:val="350"/>
        </w:trPr>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9"/>
              </w:rPr>
              <w:t>Fair Value Measurements at June 30, 2012</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12"/>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11"/>
              <w:spacing w:after="0" w:line="142" w:lineRule="exact"/>
              <w:rPr>
                <w:sz w:val="20"/>
                <w:szCs w:val="20"/>
                <w:color w:val="auto"/>
              </w:rPr>
            </w:pPr>
            <w:r>
              <w:rPr>
                <w:rFonts w:ascii="Arial" w:cs="Arial" w:eastAsia="Arial" w:hAnsi="Arial"/>
                <w:sz w:val="14"/>
                <w:szCs w:val="14"/>
                <w:b w:val="1"/>
                <w:bCs w:val="1"/>
                <w:color w:val="auto"/>
                <w:w w:val="92"/>
              </w:rPr>
              <w:t>Level 1</w:t>
            </w: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34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128,274</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128,274</w:t>
            </w:r>
          </w:p>
        </w:tc>
        <w:tc>
          <w:tcPr>
            <w:tcW w:w="4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128,274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133,264</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133,264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Regulatory stock</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5,473</w:t>
            </w:r>
          </w:p>
        </w:tc>
        <w:tc>
          <w:tcPr>
            <w:tcW w:w="44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5,473</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9,896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355,430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374,062</w:t>
            </w:r>
          </w:p>
        </w:tc>
        <w:tc>
          <w:tcPr>
            <w:tcW w:w="44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374,062</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1,840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32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18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422,188</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425,782</w:t>
            </w:r>
          </w:p>
        </w:tc>
        <w:tc>
          <w:tcPr>
            <w:tcW w:w="4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ind w:right="151"/>
              <w:spacing w:after="0"/>
              <w:rPr>
                <w:sz w:val="20"/>
                <w:szCs w:val="20"/>
                <w:color w:val="auto"/>
              </w:rPr>
            </w:pPr>
            <w:r>
              <w:rPr>
                <w:rFonts w:ascii="Arial" w:cs="Arial" w:eastAsia="Arial" w:hAnsi="Arial"/>
                <w:sz w:val="18"/>
                <w:szCs w:val="18"/>
                <w:color w:val="auto"/>
              </w:rPr>
              <w:t>425,782</w:t>
            </w: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 advances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45,747</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45,747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Structured repurchase agreements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67,314</w:t>
            </w:r>
          </w:p>
        </w:tc>
        <w:tc>
          <w:tcPr>
            <w:tcW w:w="44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67,314</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1,209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2,202</w:t>
            </w:r>
          </w:p>
        </w:tc>
        <w:tc>
          <w:tcPr>
            <w:tcW w:w="44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2,202</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8,597</w:t>
            </w: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w:t>
            </w:r>
          </w:p>
        </w:tc>
        <w:tc>
          <w:tcPr>
            <w:tcW w:w="44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26</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The Company has stand alone derivative financial instruments in the form of interest rate caps that derive their value from a fee paid and are adjusted to fair value based on index and strike rate, and a swap agreement that derives its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is limited to the net difference between the calculated amounts to be received and paid, if any. Such differences, which represent the fair value of the derivative instruments, are recognized as derivative assets and derivative liabilities.</w:t>
      </w:r>
    </w:p>
    <w:p>
      <w:pPr>
        <w:spacing w:after="0" w:line="1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is exposed to credit-related losses in the event of nonperformance by the counterparties to these agreements. The Company controls the credit risk of its financial contracts through credit approvals, limits and monitoring procedures, and does not expect any counterparties to fail their obligations. Institutional counterparties must have an investment grade credit rating and be approved by the Company’s Board of Directors. The Company deals only with primary dealers. The Company’s credit exposure on interest rate swaps is limited to the net positive fair value and accrued interest of all swaps with each counterparty.</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currently holds derivative instruments that contain credit-risk related features that are in a net liability position, which may require that collateral be assigned to dealer banks. At December 31, 2012 and June 30, 2012, the Company had cash totaling $800 thousand in a margin account with the dealer bank associated with its interest rate swap; no additional collateral was necessary at these dates to immediately settle the interest rate swap.</w:t>
      </w:r>
    </w:p>
    <w:p>
      <w:pPr>
        <w:sectPr>
          <w:pgSz w:w="11900" w:h="16838" w:orient="portrait"/>
          <w:cols w:equalWidth="0" w:num="1">
            <w:col w:w="11460"/>
          </w:cols>
          <w:pgMar w:left="240" w:top="341" w:right="199" w:bottom="0" w:gutter="0" w:footer="0" w:header="0"/>
        </w:sectPr>
      </w:pPr>
    </w:p>
    <w:bookmarkStart w:id="19" w:name="page20"/>
    <w:bookmarkEnd w:id="19"/>
    <w:p>
      <w:pPr>
        <w:ind w:right="14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 — Hedging Instruments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 — Cash Flow Hedging Instruments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uses long-term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 To meet this objective, management entered into interest rate caps whereby the Company receives variable interest payments above a specified interest rate and swap agreements whereby the Company receives variable interest rate payments and makes fixed interest rate payments during the contract period.</w:t>
      </w:r>
    </w:p>
    <w:p>
      <w:pPr>
        <w:spacing w:after="0" w:line="17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Company holds two interest rate caps that expire on September 30, 2014. The swap agreement provides for the Company to receive payments at a variable rate determined by a specified index (three month LIBOR) in exchange for making payments at a fixed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During the three and six months ended December 31, 2012 and 2011, no interest rate cap or swap agreements were terminated prior to maturity. Changes in the fair value of interest rate caps and swaps designated as hedging instruments of the variability of cash flows associated with long-term debt are reported in other comprehensive income. These amounts subsequently are reclassified into interest expense as a yield adjustment in the same period in which the related interest on the long-term debt affects earnings. Risk management results for the three and six months ended December 31, 2012 and 2011 related to the balance sheet hedging of long-term debt indicates that the hedges were effective.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amounts recognized in income related to both hedge ineffectiveness and amounts excluded from effectiveness testing.</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Six Months Ended December 31,</w:t>
            </w:r>
          </w:p>
        </w:tc>
      </w:tr>
      <w:tr>
        <w:trPr>
          <w:trHeight w:val="142"/>
        </w:trPr>
        <w:tc>
          <w:tcPr>
            <w:tcW w:w="2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80" w:type="dxa"/>
            <w:vAlign w:val="bottom"/>
            <w:gridSpan w:val="6"/>
          </w:tcPr>
          <w:p>
            <w:pPr>
              <w:jc w:val="right"/>
              <w:ind w:right="1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1960" w:type="dxa"/>
            <w:vAlign w:val="bottom"/>
            <w:gridSpan w:val="2"/>
          </w:tcPr>
          <w:p>
            <w:pPr>
              <w:jc w:val="right"/>
              <w:ind w:right="82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0"/>
        </w:trPr>
        <w:tc>
          <w:tcPr>
            <w:tcW w:w="2860" w:type="dxa"/>
            <w:vAlign w:val="bottom"/>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expects to record interest income of $100 thousand related to interest rate swap ineffectiveness in the next twelve months. The Company expects to record interest expense of $28 thousand related to its purchased interest rate caps in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r>
      <w:tr>
        <w:trPr>
          <w:trHeight w:val="523"/>
        </w:trPr>
        <w:tc>
          <w:tcPr>
            <w:tcW w:w="32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December 31, 2012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gridSpan w:val="5"/>
          </w:tcPr>
          <w:p>
            <w:pPr>
              <w:ind w:left="680"/>
              <w:spacing w:after="0"/>
              <w:rPr>
                <w:sz w:val="20"/>
                <w:szCs w:val="20"/>
                <w:color w:val="auto"/>
              </w:rPr>
            </w:pPr>
            <w:r>
              <w:rPr>
                <w:rFonts w:ascii="Arial" w:cs="Arial" w:eastAsia="Arial" w:hAnsi="Arial"/>
                <w:sz w:val="14"/>
                <w:szCs w:val="14"/>
                <w:b w:val="1"/>
                <w:bCs w:val="1"/>
                <w:color w:val="auto"/>
              </w:rPr>
              <w:t>June 30, 2012</w:t>
            </w:r>
          </w:p>
        </w:tc>
      </w:tr>
      <w:tr>
        <w:trPr>
          <w:trHeight w:val="119"/>
        </w:trPr>
        <w:tc>
          <w:tcPr>
            <w:tcW w:w="12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478"/>
              <w:spacing w:after="0" w:line="119" w:lineRule="exact"/>
              <w:rPr>
                <w:sz w:val="20"/>
                <w:szCs w:val="20"/>
                <w:color w:val="auto"/>
              </w:rPr>
            </w:pPr>
            <w:r>
              <w:rPr>
                <w:rFonts w:ascii="Arial" w:cs="Arial" w:eastAsia="Arial" w:hAnsi="Arial"/>
                <w:sz w:val="13"/>
                <w:szCs w:val="13"/>
                <w:b w:val="1"/>
                <w:bCs w:val="1"/>
                <w:color w:val="auto"/>
              </w:rPr>
              <w:t>Interest</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438"/>
              <w:spacing w:after="0" w:line="119" w:lineRule="exact"/>
              <w:rPr>
                <w:sz w:val="20"/>
                <w:szCs w:val="20"/>
                <w:color w:val="auto"/>
              </w:rPr>
            </w:pPr>
            <w:r>
              <w:rPr>
                <w:rFonts w:ascii="Arial" w:cs="Arial" w:eastAsia="Arial" w:hAnsi="Arial"/>
                <w:sz w:val="13"/>
                <w:szCs w:val="13"/>
                <w:b w:val="1"/>
                <w:bCs w:val="1"/>
                <w:color w:val="auto"/>
              </w:rPr>
              <w:t>Interest</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rPr>
              <w:t>Interest</w:t>
            </w:r>
          </w:p>
        </w:tc>
        <w:tc>
          <w:tcPr>
            <w:tcW w:w="2880" w:type="dxa"/>
            <w:vAlign w:val="bottom"/>
            <w:gridSpan w:val="2"/>
          </w:tcPr>
          <w:p>
            <w:pPr>
              <w:spacing w:after="0"/>
              <w:rPr>
                <w:sz w:val="10"/>
                <w:szCs w:val="10"/>
                <w:color w:val="auto"/>
              </w:rPr>
            </w:pPr>
          </w:p>
        </w:tc>
      </w:tr>
      <w:tr>
        <w:trPr>
          <w:trHeight w:val="171"/>
        </w:trPr>
        <w:tc>
          <w:tcPr>
            <w:tcW w:w="1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398"/>
              <w:spacing w:after="0"/>
              <w:rPr>
                <w:sz w:val="20"/>
                <w:szCs w:val="20"/>
                <w:color w:val="auto"/>
              </w:rPr>
            </w:pPr>
            <w:r>
              <w:rPr>
                <w:rFonts w:ascii="Arial" w:cs="Arial" w:eastAsia="Arial" w:hAnsi="Arial"/>
                <w:sz w:val="14"/>
                <w:szCs w:val="14"/>
                <w:b w:val="1"/>
                <w:bCs w:val="1"/>
                <w:color w:val="auto"/>
              </w:rPr>
              <w:t>Rate Caps</w:t>
            </w:r>
          </w:p>
        </w:tc>
        <w:tc>
          <w:tcPr>
            <w:tcW w:w="22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Rate Swap</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358"/>
              <w:spacing w:after="0"/>
              <w:rPr>
                <w:sz w:val="20"/>
                <w:szCs w:val="20"/>
                <w:color w:val="auto"/>
              </w:rPr>
            </w:pPr>
            <w:r>
              <w:rPr>
                <w:rFonts w:ascii="Arial" w:cs="Arial" w:eastAsia="Arial" w:hAnsi="Arial"/>
                <w:sz w:val="14"/>
                <w:szCs w:val="14"/>
                <w:b w:val="1"/>
                <w:bCs w:val="1"/>
                <w:color w:val="auto"/>
              </w:rPr>
              <w:t>Rate Caps</w:t>
            </w:r>
          </w:p>
        </w:tc>
        <w:tc>
          <w:tcPr>
            <w:tcW w:w="220" w:type="dxa"/>
            <w:vAlign w:val="bottom"/>
          </w:tcPr>
          <w:p>
            <w:pPr>
              <w:spacing w:after="0"/>
              <w:rPr>
                <w:sz w:val="14"/>
                <w:szCs w:val="14"/>
                <w:color w:val="auto"/>
              </w:rPr>
            </w:pPr>
          </w:p>
        </w:tc>
        <w:tc>
          <w:tcPr>
            <w:tcW w:w="3840" w:type="dxa"/>
            <w:vAlign w:val="bottom"/>
            <w:gridSpan w:val="3"/>
          </w:tcPr>
          <w:p>
            <w:pPr>
              <w:jc w:val="center"/>
              <w:ind w:right="3020"/>
              <w:spacing w:after="0"/>
              <w:rPr>
                <w:sz w:val="20"/>
                <w:szCs w:val="20"/>
                <w:color w:val="auto"/>
              </w:rPr>
            </w:pPr>
            <w:r>
              <w:rPr>
                <w:rFonts w:ascii="Arial" w:cs="Arial" w:eastAsia="Arial" w:hAnsi="Arial"/>
                <w:sz w:val="14"/>
                <w:szCs w:val="14"/>
                <w:b w:val="1"/>
                <w:bCs w:val="1"/>
                <w:color w:val="auto"/>
                <w:w w:val="93"/>
              </w:rPr>
              <w:t>Rate Swap</w:t>
            </w:r>
          </w:p>
        </w:tc>
      </w:tr>
      <w:tr>
        <w:trPr>
          <w:trHeight w:val="142"/>
        </w:trPr>
        <w:tc>
          <w:tcPr>
            <w:tcW w:w="1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right"/>
              <w:ind w:right="738"/>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Notional amount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2720" w:type="dxa"/>
            <w:vAlign w:val="bottom"/>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Weighted average pay rate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272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receive rate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720" w:type="dxa"/>
            <w:vAlign w:val="bottom"/>
          </w:tcPr>
          <w:p>
            <w:pPr>
              <w:spacing w:after="0"/>
              <w:rPr>
                <w:sz w:val="18"/>
                <w:szCs w:val="18"/>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Strike rate based on three month</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LIBOR</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maturity in years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c>
          <w:tcPr>
            <w:tcW w:w="2720" w:type="dxa"/>
            <w:vAlign w:val="bottom"/>
          </w:tcPr>
          <w:p>
            <w:pPr>
              <w:spacing w:after="0"/>
              <w:rPr>
                <w:sz w:val="18"/>
                <w:szCs w:val="18"/>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Unrealized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8"/>
              <w:spacing w:after="0"/>
              <w:rPr>
                <w:sz w:val="20"/>
                <w:szCs w:val="20"/>
                <w:color w:val="auto"/>
              </w:rPr>
            </w:pPr>
            <w:r>
              <w:rPr>
                <w:rFonts w:ascii="Arial" w:cs="Arial" w:eastAsia="Arial" w:hAnsi="Arial"/>
                <w:sz w:val="18"/>
                <w:szCs w:val="18"/>
                <w:color w:val="auto"/>
              </w:rPr>
              <w:t>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8"/>
              <w:spacing w:after="0"/>
              <w:rPr>
                <w:sz w:val="20"/>
                <w:szCs w:val="20"/>
                <w:color w:val="auto"/>
              </w:rPr>
            </w:pPr>
            <w:r>
              <w:rPr>
                <w:rFonts w:ascii="Arial" w:cs="Arial" w:eastAsia="Arial" w:hAnsi="Arial"/>
                <w:sz w:val="18"/>
                <w:szCs w:val="18"/>
                <w:color w:val="auto"/>
              </w:rPr>
              <w:t>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2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-1888490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-1888490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fair values and location of derivatives designated as hedging instruments.</w:t>
      </w:r>
    </w:p>
    <w:p>
      <w:pPr>
        <w:spacing w:after="0" w:line="217"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auto"/>
        </w:rPr>
        <w:t>December 31, 2012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6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Asset Derivatives</w:t>
            </w:r>
          </w:p>
        </w:tc>
        <w:tc>
          <w:tcPr>
            <w:tcW w:w="2840" w:type="dxa"/>
            <w:vAlign w:val="bottom"/>
            <w:tcBorders>
              <w:top w:val="single" w:sz="8" w:color="auto"/>
            </w:tcBorders>
            <w:gridSpan w:val="3"/>
          </w:tcPr>
          <w:p>
            <w:pPr>
              <w:ind w:left="400"/>
              <w:spacing w:after="0" w:line="119" w:lineRule="exact"/>
              <w:rPr>
                <w:sz w:val="20"/>
                <w:szCs w:val="20"/>
                <w:color w:val="auto"/>
              </w:rPr>
            </w:pPr>
            <w:r>
              <w:rPr>
                <w:rFonts w:ascii="Arial" w:cs="Arial" w:eastAsia="Arial" w:hAnsi="Arial"/>
                <w:sz w:val="13"/>
                <w:szCs w:val="13"/>
                <w:b w:val="1"/>
                <w:bCs w:val="1"/>
                <w:color w:val="auto"/>
              </w:rPr>
              <w:t>(Dollars in thousands)</w:t>
            </w:r>
          </w:p>
        </w:tc>
        <w:tc>
          <w:tcPr>
            <w:tcW w:w="3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vMerge w:val="restart"/>
          </w:tcPr>
          <w:p>
            <w:pPr>
              <w:jc w:val="right"/>
              <w:ind w:right="599"/>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Balance Sheet Location</w:t>
            </w:r>
          </w:p>
        </w:tc>
        <w:tc>
          <w:tcPr>
            <w:tcW w:w="3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4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660" w:type="dxa"/>
            <w:vAlign w:val="bottom"/>
          </w:tcPr>
          <w:p>
            <w:pPr>
              <w:spacing w:after="0"/>
              <w:rPr>
                <w:sz w:val="20"/>
                <w:szCs w:val="20"/>
                <w:color w:val="auto"/>
              </w:rPr>
            </w:pPr>
            <w:r>
              <w:rPr>
                <w:rFonts w:ascii="Arial" w:cs="Arial" w:eastAsia="Arial" w:hAnsi="Arial"/>
                <w:sz w:val="14"/>
                <w:szCs w:val="14"/>
                <w:b w:val="1"/>
                <w:bCs w:val="1"/>
                <w:color w:val="auto"/>
              </w:rPr>
              <w:t>Liability Derivatives</w:t>
            </w:r>
          </w:p>
        </w:tc>
        <w:tc>
          <w:tcPr>
            <w:tcW w:w="440" w:type="dxa"/>
            <w:vAlign w:val="bottom"/>
          </w:tcPr>
          <w:p>
            <w:pPr>
              <w:spacing w:after="0"/>
              <w:rPr>
                <w:sz w:val="24"/>
                <w:szCs w:val="24"/>
                <w:color w:val="auto"/>
              </w:rPr>
            </w:pPr>
          </w:p>
        </w:tc>
        <w:tc>
          <w:tcPr>
            <w:tcW w:w="2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Balance Sheet Location</w:t>
            </w:r>
          </w:p>
        </w:tc>
        <w:tc>
          <w:tcPr>
            <w:tcW w:w="380" w:type="dxa"/>
            <w:vAlign w:val="bottom"/>
          </w:tcPr>
          <w:p>
            <w:pPr>
              <w:spacing w:after="0"/>
              <w:rPr>
                <w:sz w:val="24"/>
                <w:szCs w:val="24"/>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4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4"/>
                <w:szCs w:val="14"/>
                <w:b w:val="1"/>
                <w:bCs w:val="1"/>
                <w:color w:val="auto"/>
                <w:w w:val="92"/>
              </w:rPr>
              <w:t>June 30, 2012</w:t>
            </w: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Asset Derivatives</w:t>
            </w:r>
          </w:p>
        </w:tc>
        <w:tc>
          <w:tcPr>
            <w:tcW w:w="440" w:type="dxa"/>
            <w:vAlign w:val="bottom"/>
          </w:tcPr>
          <w:p>
            <w:pPr>
              <w:spacing w:after="0"/>
              <w:rPr>
                <w:sz w:val="10"/>
                <w:szCs w:val="10"/>
                <w:color w:val="auto"/>
              </w:rPr>
            </w:pPr>
          </w:p>
        </w:tc>
        <w:tc>
          <w:tcPr>
            <w:tcW w:w="240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w w:val="99"/>
              </w:rPr>
              <w:t>(Dollars in thousands)</w:t>
            </w:r>
          </w:p>
        </w:tc>
        <w:tc>
          <w:tcPr>
            <w:tcW w:w="380" w:type="dxa"/>
            <w:vAlign w:val="bottom"/>
          </w:tcPr>
          <w:p>
            <w:pPr>
              <w:spacing w:after="0"/>
              <w:rPr>
                <w:sz w:val="10"/>
                <w:szCs w:val="10"/>
                <w:color w:val="auto"/>
              </w:rPr>
            </w:pPr>
          </w:p>
        </w:tc>
        <w:tc>
          <w:tcPr>
            <w:tcW w:w="174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Balance Sheet Location</w:t>
            </w:r>
          </w:p>
        </w:tc>
        <w:tc>
          <w:tcPr>
            <w:tcW w:w="3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4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660" w:type="dxa"/>
            <w:vAlign w:val="bottom"/>
          </w:tcPr>
          <w:p>
            <w:pPr>
              <w:spacing w:after="0"/>
              <w:rPr>
                <w:sz w:val="20"/>
                <w:szCs w:val="20"/>
                <w:color w:val="auto"/>
              </w:rPr>
            </w:pPr>
            <w:r>
              <w:rPr>
                <w:rFonts w:ascii="Arial" w:cs="Arial" w:eastAsia="Arial" w:hAnsi="Arial"/>
                <w:sz w:val="14"/>
                <w:szCs w:val="14"/>
                <w:b w:val="1"/>
                <w:bCs w:val="1"/>
                <w:color w:val="auto"/>
              </w:rPr>
              <w:t>Liability Derivatives</w:t>
            </w:r>
          </w:p>
        </w:tc>
        <w:tc>
          <w:tcPr>
            <w:tcW w:w="440" w:type="dxa"/>
            <w:vAlign w:val="bottom"/>
          </w:tcPr>
          <w:p>
            <w:pPr>
              <w:spacing w:after="0"/>
              <w:rPr>
                <w:sz w:val="24"/>
                <w:szCs w:val="24"/>
                <w:color w:val="auto"/>
              </w:rPr>
            </w:pPr>
          </w:p>
        </w:tc>
        <w:tc>
          <w:tcPr>
            <w:tcW w:w="2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Balance Sheet Location</w:t>
            </w:r>
          </w:p>
        </w:tc>
        <w:tc>
          <w:tcPr>
            <w:tcW w:w="380" w:type="dxa"/>
            <w:vAlign w:val="bottom"/>
          </w:tcPr>
          <w:p>
            <w:pPr>
              <w:spacing w:after="0"/>
              <w:rPr>
                <w:sz w:val="24"/>
                <w:szCs w:val="24"/>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4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41" w:right="199" w:bottom="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(loss) income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3"/>
              </w:rPr>
              <w:t>Three Months Ended December 31,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67"/>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4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Pre-tax</w:t>
            </w:r>
          </w:p>
        </w:tc>
        <w:tc>
          <w:tcPr>
            <w:tcW w:w="120" w:type="dxa"/>
            <w:vAlign w:val="bottom"/>
          </w:tcPr>
          <w:p>
            <w:pPr>
              <w:spacing w:after="0"/>
              <w:rPr>
                <w:sz w:val="10"/>
                <w:szCs w:val="10"/>
                <w:color w:val="auto"/>
              </w:rPr>
            </w:pPr>
          </w:p>
        </w:tc>
        <w:tc>
          <w:tcPr>
            <w:tcW w:w="1020" w:type="dxa"/>
            <w:vAlign w:val="bottom"/>
            <w:gridSpan w:val="3"/>
          </w:tcPr>
          <w:p>
            <w:pPr>
              <w:jc w:val="center"/>
              <w:ind w:right="143"/>
              <w:spacing w:after="0" w:line="119" w:lineRule="exact"/>
              <w:rPr>
                <w:sz w:val="20"/>
                <w:szCs w:val="20"/>
                <w:color w:val="auto"/>
              </w:rPr>
            </w:pPr>
            <w:r>
              <w:rPr>
                <w:rFonts w:ascii="Arial" w:cs="Arial" w:eastAsia="Arial" w:hAnsi="Arial"/>
                <w:sz w:val="13"/>
                <w:szCs w:val="13"/>
                <w:b w:val="1"/>
                <w:bCs w:val="1"/>
                <w:color w:val="auto"/>
                <w:w w:val="95"/>
              </w:rPr>
              <w:t>Tax Expense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After-tax</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Pre-tax</w:t>
            </w:r>
          </w:p>
        </w:tc>
        <w:tc>
          <w:tcPr>
            <w:tcW w:w="120" w:type="dxa"/>
            <w:vAlign w:val="bottom"/>
          </w:tcPr>
          <w:p>
            <w:pPr>
              <w:spacing w:after="0"/>
              <w:rPr>
                <w:sz w:val="10"/>
                <w:szCs w:val="10"/>
                <w:color w:val="auto"/>
              </w:rPr>
            </w:pPr>
          </w:p>
        </w:tc>
        <w:tc>
          <w:tcPr>
            <w:tcW w:w="118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After-tax</w:t>
            </w:r>
          </w:p>
        </w:tc>
        <w:tc>
          <w:tcPr>
            <w:tcW w:w="120" w:type="dxa"/>
            <w:vAlign w:val="bottom"/>
          </w:tcPr>
          <w:p>
            <w:pPr>
              <w:spacing w:after="0"/>
              <w:rPr>
                <w:sz w:val="10"/>
                <w:szCs w:val="10"/>
                <w:color w:val="auto"/>
              </w:rPr>
            </w:pP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020" w:type="dxa"/>
            <w:vAlign w:val="bottom"/>
            <w:gridSpan w:val="3"/>
          </w:tcPr>
          <w:p>
            <w:pPr>
              <w:jc w:val="center"/>
              <w:ind w:right="143"/>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(Benefit)</w:t>
            </w:r>
          </w:p>
        </w:tc>
        <w:tc>
          <w:tcPr>
            <w:tcW w:w="12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Amount</w:t>
            </w:r>
          </w:p>
        </w:tc>
      </w:tr>
      <w:tr>
        <w:trPr>
          <w:trHeight w:val="142"/>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7"/>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Change in net unrealized gain or loss on available-for-sale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2"/>
        </w:trPr>
        <w:tc>
          <w:tcPr>
            <w:tcW w:w="4420" w:type="dxa"/>
            <w:vAlign w:val="bottom"/>
          </w:tcPr>
          <w:p>
            <w:pPr>
              <w:ind w:left="180"/>
              <w:spacing w:after="0" w:line="201" w:lineRule="exact"/>
              <w:rPr>
                <w:sz w:val="20"/>
                <w:szCs w:val="20"/>
                <w:color w:val="auto"/>
              </w:rPr>
            </w:pPr>
            <w:r>
              <w:rPr>
                <w:rFonts w:ascii="Arial" w:cs="Arial" w:eastAsia="Arial" w:hAnsi="Arial"/>
                <w:sz w:val="18"/>
                <w:szCs w:val="18"/>
                <w:color w:val="auto"/>
                <w:w w:val="95"/>
              </w:rPr>
              <w:t>Reclassification adjustment for net gains included in net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020" w:type="dxa"/>
            <w:vAlign w:val="bottom"/>
            <w:gridSpan w:val="3"/>
          </w:tcPr>
          <w:p>
            <w:pPr>
              <w:jc w:val="right"/>
              <w:ind w:right="2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(286)</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w w:val="94"/>
              </w:rPr>
              <w:t>Change in accumulated loss on effective cash flow hedges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r>
      <w:tr>
        <w:trPr>
          <w:trHeight w:val="202"/>
        </w:trPr>
        <w:tc>
          <w:tcPr>
            <w:tcW w:w="4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Reclassification adjustment for net gains included in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8"/>
                <w:szCs w:val="18"/>
                <w:color w:val="auto"/>
              </w:rPr>
            </w:pPr>
          </w:p>
        </w:tc>
      </w:tr>
      <w:tr>
        <w:trPr>
          <w:trHeight w:val="223"/>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4"/>
                <w:szCs w:val="14"/>
                <w:b w:val="1"/>
                <w:bCs w:val="1"/>
                <w:color w:val="auto"/>
                <w:w w:val="92"/>
              </w:rPr>
              <w:t>Six Months Ended December 31,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67"/>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4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Pre-tax</w:t>
            </w:r>
          </w:p>
        </w:tc>
        <w:tc>
          <w:tcPr>
            <w:tcW w:w="120" w:type="dxa"/>
            <w:vAlign w:val="bottom"/>
          </w:tcPr>
          <w:p>
            <w:pPr>
              <w:spacing w:after="0"/>
              <w:rPr>
                <w:sz w:val="10"/>
                <w:szCs w:val="10"/>
                <w:color w:val="auto"/>
              </w:rPr>
            </w:pPr>
          </w:p>
        </w:tc>
        <w:tc>
          <w:tcPr>
            <w:tcW w:w="1020" w:type="dxa"/>
            <w:vAlign w:val="bottom"/>
            <w:gridSpan w:val="3"/>
          </w:tcPr>
          <w:p>
            <w:pPr>
              <w:jc w:val="center"/>
              <w:ind w:right="143"/>
              <w:spacing w:after="0" w:line="119" w:lineRule="exact"/>
              <w:rPr>
                <w:sz w:val="20"/>
                <w:szCs w:val="20"/>
                <w:color w:val="auto"/>
              </w:rPr>
            </w:pPr>
            <w:r>
              <w:rPr>
                <w:rFonts w:ascii="Arial" w:cs="Arial" w:eastAsia="Arial" w:hAnsi="Arial"/>
                <w:sz w:val="13"/>
                <w:szCs w:val="13"/>
                <w:b w:val="1"/>
                <w:bCs w:val="1"/>
                <w:color w:val="auto"/>
                <w:w w:val="95"/>
              </w:rPr>
              <w:t>Tax Expense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After-tax</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Pre-tax</w:t>
            </w:r>
          </w:p>
        </w:tc>
        <w:tc>
          <w:tcPr>
            <w:tcW w:w="120" w:type="dxa"/>
            <w:vAlign w:val="bottom"/>
          </w:tcPr>
          <w:p>
            <w:pPr>
              <w:spacing w:after="0"/>
              <w:rPr>
                <w:sz w:val="10"/>
                <w:szCs w:val="10"/>
                <w:color w:val="auto"/>
              </w:rPr>
            </w:pPr>
          </w:p>
        </w:tc>
        <w:tc>
          <w:tcPr>
            <w:tcW w:w="118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120" w:type="dxa"/>
            <w:vAlign w:val="bottom"/>
          </w:tcPr>
          <w:p>
            <w:pPr>
              <w:spacing w:after="0"/>
              <w:rPr>
                <w:sz w:val="10"/>
                <w:szCs w:val="10"/>
                <w:color w:val="auto"/>
              </w:rPr>
            </w:pPr>
          </w:p>
        </w:tc>
        <w:tc>
          <w:tcPr>
            <w:tcW w:w="74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After-tax</w:t>
            </w:r>
          </w:p>
        </w:tc>
        <w:tc>
          <w:tcPr>
            <w:tcW w:w="140" w:type="dxa"/>
            <w:vAlign w:val="bottom"/>
            <w:gridSpan w:val="2"/>
          </w:tcPr>
          <w:p>
            <w:pPr>
              <w:spacing w:after="0"/>
              <w:rPr>
                <w:sz w:val="10"/>
                <w:szCs w:val="10"/>
                <w:color w:val="auto"/>
              </w:rPr>
            </w:pP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020" w:type="dxa"/>
            <w:vAlign w:val="bottom"/>
            <w:gridSpan w:val="3"/>
          </w:tcPr>
          <w:p>
            <w:pPr>
              <w:jc w:val="center"/>
              <w:ind w:right="143"/>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(Benefit)</w:t>
            </w:r>
          </w:p>
        </w:tc>
        <w:tc>
          <w:tcPr>
            <w:tcW w:w="12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Amount</w:t>
            </w:r>
          </w:p>
        </w:tc>
      </w:tr>
      <w:tr>
        <w:trPr>
          <w:trHeight w:val="142"/>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7"/>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Change in net unrealized gain or loss on available-for-sale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20"/>
                <w:szCs w:val="20"/>
                <w:color w:val="auto"/>
              </w:rPr>
            </w:pPr>
          </w:p>
        </w:tc>
      </w:tr>
      <w:tr>
        <w:trPr>
          <w:trHeight w:val="202"/>
        </w:trPr>
        <w:tc>
          <w:tcPr>
            <w:tcW w:w="4420" w:type="dxa"/>
            <w:vAlign w:val="bottom"/>
          </w:tcPr>
          <w:p>
            <w:pPr>
              <w:ind w:left="180"/>
              <w:spacing w:after="0" w:line="201" w:lineRule="exact"/>
              <w:rPr>
                <w:sz w:val="20"/>
                <w:szCs w:val="20"/>
                <w:color w:val="auto"/>
              </w:rPr>
            </w:pPr>
            <w:r>
              <w:rPr>
                <w:rFonts w:ascii="Arial" w:cs="Arial" w:eastAsia="Arial" w:hAnsi="Arial"/>
                <w:sz w:val="18"/>
                <w:szCs w:val="18"/>
                <w:color w:val="auto"/>
                <w:w w:val="95"/>
              </w:rPr>
              <w:t>Reclassification adjustment for net gains included in net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(251)</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w w:val="94"/>
              </w:rPr>
              <w:t>Change in accumulated loss on effective cash flow hedges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gridSpan w:val="2"/>
          </w:tcPr>
          <w:p>
            <w:pPr>
              <w:spacing w:after="0"/>
              <w:rPr>
                <w:sz w:val="18"/>
                <w:szCs w:val="18"/>
                <w:color w:val="auto"/>
              </w:rPr>
            </w:pPr>
          </w:p>
        </w:tc>
      </w:tr>
      <w:tr>
        <w:trPr>
          <w:trHeight w:val="202"/>
        </w:trPr>
        <w:tc>
          <w:tcPr>
            <w:tcW w:w="4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Reclassification adjustment for net gains included in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gridSpan w:val="2"/>
          </w:tcPr>
          <w:p>
            <w:pPr>
              <w:spacing w:after="0"/>
              <w:rPr>
                <w:sz w:val="18"/>
                <w:szCs w:val="18"/>
                <w:color w:val="auto"/>
              </w:rPr>
            </w:pPr>
          </w:p>
        </w:tc>
      </w:tr>
      <w:tr>
        <w:trPr>
          <w:trHeight w:val="210"/>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income</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60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5760" w:type="dxa"/>
            <w:vAlign w:val="bottom"/>
            <w:gridSpan w:val="5"/>
          </w:tcPr>
          <w:p>
            <w:pPr>
              <w:spacing w:after="0"/>
              <w:rPr>
                <w:sz w:val="20"/>
                <w:szCs w:val="20"/>
                <w:color w:val="auto"/>
              </w:rPr>
            </w:pPr>
            <w:r>
              <w:rPr>
                <w:rFonts w:ascii="Arial" w:cs="Arial" w:eastAsia="Arial" w:hAnsi="Arial"/>
                <w:sz w:val="18"/>
                <w:szCs w:val="18"/>
                <w:color w:val="auto"/>
                <w:w w:val="91"/>
              </w:rPr>
              <w:t>Accumulated other comprehensive (loss) income is comprised of the following.</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gridSpan w:val="7"/>
          </w:tcPr>
          <w:p>
            <w:pPr>
              <w:jc w:val="right"/>
              <w:ind w:right="310"/>
              <w:spacing w:after="0"/>
              <w:rPr>
                <w:sz w:val="20"/>
                <w:szCs w:val="20"/>
                <w:color w:val="auto"/>
              </w:rPr>
            </w:pPr>
            <w:r>
              <w:rPr>
                <w:rFonts w:ascii="Arial" w:cs="Arial" w:eastAsia="Arial" w:hAnsi="Arial"/>
                <w:sz w:val="14"/>
                <w:szCs w:val="14"/>
                <w:b w:val="1"/>
                <w:bCs w:val="1"/>
                <w:color w:val="auto"/>
                <w:w w:val="98"/>
              </w:rPr>
              <w:t>December 31, 2012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June 30, 2012</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7"/>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available-for-sale securities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624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5"/>
          </w:tcPr>
          <w:p>
            <w:pPr>
              <w:jc w:val="right"/>
              <w:ind w:right="60"/>
              <w:spacing w:after="0"/>
              <w:rPr>
                <w:sz w:val="20"/>
                <w:szCs w:val="20"/>
                <w:color w:val="auto"/>
              </w:rPr>
            </w:pPr>
            <w:r>
              <w:rPr>
                <w:rFonts w:ascii="Arial" w:cs="Arial" w:eastAsia="Arial" w:hAnsi="Arial"/>
                <w:sz w:val="18"/>
                <w:szCs w:val="18"/>
                <w:color w:val="auto"/>
              </w:rPr>
              <w:t>(212)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4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Net-of-tax amount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412</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130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Net-of-tax amount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158</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Asset Relief Capital Purchase Program</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quarter ended December 31, 2012, the Company paid $4.2 million to redeem, at par value, all shares of preferred stock issued to the U.S. Department of the Treasury (the “UST”) under the Troubled Asset Relief Program (“TARP”). The Company also repurchased the warrant for 67,958 shares of common stock issued to the UST in connection with TARP for $95 thousand during the quarter ended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Authorized Shares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the 2012 annual meeting of shareholders held on November 28, 2012, the Company’s shareholders approved an amendment (the “Amendment”) to the Company’s Amended and Restated Articles of Incorporation, as amended. The Amendment increased (i) the authorized shares of voting common stock, par value $1.00 per share, from 13,500,000 to 25,000,000 shares, and (ii) the authorized shares of non-voting common stock, par value $1.00 per share, from 1,500,000 to 3,000,000 shares. As a result, the total number of authorized shares of all classes of stock, including 1,000,000 shares of preferred stock, increased from 16,000,000 to 29,000,000 shares.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ectPr>
          <w:pgSz w:w="11900" w:h="16838" w:orient="portrait"/>
          <w:cols w:equalWidth="0" w:num="1">
            <w:col w:w="11420"/>
          </w:cols>
          <w:pgMar w:left="240" w:top="125"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Commitments</w:t>
      </w:r>
    </w:p>
    <w:p>
      <w:pPr>
        <w:sectPr>
          <w:pgSz w:w="11900" w:h="16838" w:orient="portrait"/>
          <w:cols w:equalWidth="0" w:num="1">
            <w:col w:w="11420"/>
          </w:cols>
          <w:pgMar w:left="240" w:top="125" w:right="239" w:bottom="0" w:gutter="0" w:footer="0" w:header="0"/>
          <w:type w:val="continuous"/>
        </w:sectPr>
      </w:pPr>
    </w:p>
    <w:bookmarkStart w:id="21" w:name="page22"/>
    <w:bookmarkEnd w:id="21"/>
    <w:p>
      <w:pPr>
        <w:ind w:right="8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5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 2012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5"/>
          </w:tcPr>
          <w:p>
            <w:pPr>
              <w:jc w:val="right"/>
              <w:ind w:right="73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Residential real estate mortgages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13,262</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10,279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loans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mortgages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Commercial business loans</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Unused lines of credit</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34,422</w:t>
            </w:r>
          </w:p>
        </w:tc>
        <w:tc>
          <w:tcPr>
            <w:tcW w:w="1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36,276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Unadvanced portions of construction loans</w:t>
            </w: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2011, the Bank received a summons and complaint in TSM Properties, LLC v. Northeast Bank and Daniel G. Thompson, Docket No. BCD-CV-12-10, State of Maine Superior Court Business and Consumer Docket sitting in Portland, Cumberland County, Maine, in connection with a dispute regarding transfers of money that involves the Bank. Damages sought include $2.2 million and additional unspecified amounts. The Bank intends to vigorously defend against these claims. While it is not feasible to predict or determine the outcome of these proceedings, the Company believes that a loss resulting from an adverse outcome to this matter is reasonably possible, though the amount of the loss is not determinable at this time. As such, the Company has not established a reserve against potential damages arising from this matter.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2012,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the effects of a continuing deterioration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2012 as updated in the Company’s Quarterly Reports on Form 10-Q and other filings submitted to the Securities and Exchange Commission. These forward-looking statements speak only as of the date of this report and the Company does not undertake any obligation to</w:t>
      </w:r>
    </w:p>
    <w:p>
      <w:pPr>
        <w:sectPr>
          <w:pgSz w:w="11900" w:h="16838" w:orient="portrait"/>
          <w:cols w:equalWidth="0" w:num="1">
            <w:col w:w="11420"/>
          </w:cols>
          <w:pgMar w:left="240" w:top="341" w:right="239" w:bottom="0" w:gutter="0" w:footer="0" w:header="0"/>
        </w:sectPr>
      </w:pPr>
    </w:p>
    <w:bookmarkStart w:id="22" w:name="page23"/>
    <w:bookmarkEnd w:id="22"/>
    <w:p>
      <w:pPr>
        <w:ind w:right="180"/>
        <w:spacing w:after="0" w:line="277" w:lineRule="auto"/>
        <w:rPr>
          <w:sz w:val="20"/>
          <w:szCs w:val="20"/>
          <w:color w:val="auto"/>
        </w:rPr>
      </w:pPr>
      <w:r>
        <w:rPr>
          <w:rFonts w:ascii="Arial" w:cs="Arial" w:eastAsia="Arial" w:hAnsi="Arial"/>
          <w:sz w:val="18"/>
          <w:szCs w:val="18"/>
          <w:color w:val="auto"/>
        </w:rPr>
        <w:t>update or revise any of these forward-looking statements to reflect events or circumstances occurring after the date of this report or to reflect the occurrence of unanticipated events.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Northeast Bancorp (“we,” “our,” “us,” “Northeast” or the “Company”), a Maine corporation chartered in April 1987, is a bank holding company registered with the Board of Governors of the Federal Reserve System (“Federal Reserve”) under the Bank Holding Company Act of 1956, as amended. The Company’s primary subsidiary and principal asset is its wholly-owned banking subsidiary, Northeast Bank (the “Bank” or “Northeast Bank”). The Bank, which was originally organized in 1872 as a Maine-chartered mutual savings bank and was formerly known as Bethel Savings Bank F.S.B., is a Maine state-chartered bank and a member of the Federal Reserve System. As such, the Company and the Bank are currently subject to the regulatory oversight of the Federal Reserve and the State of Maine Bureau of Financial Institutions (the “Bureau”).</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connection with the transaction, as part of the regulatory approval process, the Company and the Bank made certain commitments to the Federal Reserve and the Bureau,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The Company and the Bank are currently in compliance with all commitments to the Federal Reserve and the Bureau.</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2012, the Company, on a consolidated basis, had total assets of $704.7 million, total deposits of $501.5 million, and stockholders’ equity of $114.9 million. The Company gathers retail deposits through its Community Banking Division’s banking offices in Maine and through its online affinity deposit program, ableBanking; originates loans through its Community Banking Division; and purchases primarily performing commercial real estate loans at a discount and, to a lesser extent, originates commercial loans through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Bank’s Loan Acquisition and Servicing Group (“LASG”). The Company operates the Community Banking Division from Lewiston, Maine, which operates ten full-service branches, some with investment centers, and five loan production offices that serve individuals and businesses located in western and south-central Maine, southern New Hampshire, and southeastern Massachusetts. The Company operates ableBanking and the LASG from its offices in Boston, Massachusetts.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August of 2011, the Company sold the customer lists and certain other assets of its insurance agency division, Northeast Bank Insurance Group (“NBIG”).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operations of NBIG have been reported as discontinued operations in the consolidated financial statements and in the discussion 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May of 2012, the Company raised net proceeds of $52.7 million through the sale of shares of its common stock.</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quarter ended December 31, 2012, the Company redeemed, at par value, all shares of preferred stock issued to the U.S. Department of the Treasury (the “UST”) under the Troubled Asset Relief Program (“TARP”). The Company also repurchased the warrant for 67,958 shares of common stock issued to the UST in connection with TARP for $95 thousand during the quarter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otherwise requires, references herein to the Company include the Company and its subsidiary, the Bank, on a consolidated basis.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Measured growth of the purchased loan portfolio</w:t>
      </w:r>
      <w:r>
        <w:rPr>
          <w:rFonts w:ascii="Arial" w:cs="Arial" w:eastAsia="Arial" w:hAnsi="Arial"/>
          <w:sz w:val="18"/>
          <w:szCs w:val="18"/>
          <w:color w:val="auto"/>
        </w:rPr>
        <w:t>. The LASG purchases primarily performing commercial real estate loans, on a nationwide basis, at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from their outstanding principal balances, producing yields higher than those normally achieved on our originated loan portfolio. To a lesser extent, the LASG originates commercial loans opportunistically on a nationwide basis.</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Loans are purchased on a nationwide basis from a variety of sources, including banks, insurance companies, investment funds and government agencies, either directly or indirectly through a broker. We expect that loans purchased by the LASG will, subject to compliance with applicable regulatory commitments, represent an increasing percentage of our total loan portfolio in the future.</w:t>
      </w:r>
    </w:p>
    <w:p>
      <w:pPr>
        <w:spacing w:after="0" w:line="18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Focus on core deposits</w:t>
      </w:r>
      <w:r>
        <w:rPr>
          <w:rFonts w:ascii="Arial" w:cs="Arial" w:eastAsia="Arial" w:hAnsi="Arial"/>
          <w:sz w:val="18"/>
          <w:szCs w:val="18"/>
          <w:color w:val="auto"/>
        </w:rPr>
        <w:t>. The Bank offers a full line of deposit products to customers in the Community Banking Division’s market area through its ten-branch</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In addition, we launched our online affinity deposit program, ableBanking, a division of Northeast Bank in the quarter ended June 30, 2012. One of the Company’s strategic goals is for ableBanking to provide an additional channel through which to raise core deposits to fund the acquisition of loans by the LASG.</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The Community Banking Division retains a high degree of local autonomy and operational flexibility to better</w:t>
      </w:r>
      <w:r>
        <w:rPr>
          <w:rFonts w:ascii="Arial" w:cs="Arial" w:eastAsia="Arial" w:hAnsi="Arial"/>
          <w:sz w:val="17"/>
          <w:szCs w:val="17"/>
          <w:i w:val="1"/>
          <w:iCs w:val="1"/>
          <w:color w:val="auto"/>
        </w:rPr>
        <w:t xml:space="preserve"> </w:t>
      </w:r>
      <w:r>
        <w:rPr>
          <w:rFonts w:ascii="Arial" w:cs="Arial" w:eastAsia="Arial" w:hAnsi="Arial"/>
          <w:sz w:val="17"/>
          <w:szCs w:val="17"/>
          <w:color w:val="auto"/>
        </w:rPr>
        <w:t>serve its customers. The Community Banking Division’s focus on sales and service is expected to allow us to attract and retain core deposits in support of balance sheet growth, and to continue to generate new loans, particularly through the efforts of the residential mortgage origination team.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ectPr>
          <w:pgSz w:w="11900" w:h="16838" w:orient="portrait"/>
          <w:cols w:equalWidth="0" w:num="1">
            <w:col w:w="11420"/>
          </w:cols>
          <w:pgMar w:left="240" w:top="125" w:right="239" w:bottom="104" w:gutter="0" w:footer="0" w:header="0"/>
        </w:sectPr>
      </w:pPr>
    </w:p>
    <w:bookmarkStart w:id="23" w:name="page24"/>
    <w:bookmarkEnd w:id="23"/>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2012 to gain a better understanding of how Northeast’s financial performance is measured and reported. There has been no material change in critical accounting policies during the six months ended December 31, 2012.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was $1.5 million for the quarter ended December 31, 2012, compared to $418 thousand for the quarter ended December 31, 2011. Net income for the six months ended December 31, 2012 was $2.6 million, compared to $947 thousand for the six months ended December 31, 2011. Net income for the six months ended December 31, 2011 included $1.1 million from discontinued operations.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income available to common stockholders was $1.3 million, or $0.12 per diluted common share, for the quarter ended December 31, 2012, compared $320 thousand, or $0.09 per diluted common share, for the quarter ended December 31, 2011. Net income available to common stockholders for the six months ended December 31, 2012 was $2.2 million, or $0.21 per diluted common share, compared to $751 thousand, or $0.21 per diluted common share, for the six months ended December 31, 2011. Weighted average shares outstanding increased to 10.4 million in each of the current year periods from 3.5 million in 2011 as a result of the Company’s public offering of common stock in May 2012.</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interest and dividend income increased by $2.1 million, or 43.6%, to $7.1 million for the quarter ended December 31, 2012 compared to the quarter ended December 31, 2011, principally due to growth in the purchased loan portfolio. This result is evident in the net interest margin, which increased to 4.28% for the quarter ended December 31, 2012, compared to 3.53% for the quarter ended December 31, 2011.</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the quarter ended December 31, 2012, the LASG purchased loans totaling $32.9 million, growing the purchased loan portfolio on a net basis to $133.7 million at quarter end. Additionally, the LASG originated $4.0 million in commercial loans, increasing its originated loan portfolio to $15.9 million at December 31, 2012. An overview of the LASG portfolio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LASG Portfolio Overview</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6"/>
          </w:tcPr>
          <w:p>
            <w:pPr>
              <w:ind w:left="240"/>
              <w:spacing w:after="0" w:line="142" w:lineRule="exact"/>
              <w:rPr>
                <w:sz w:val="20"/>
                <w:szCs w:val="20"/>
                <w:color w:val="auto"/>
              </w:rPr>
            </w:pPr>
            <w:r>
              <w:rPr>
                <w:rFonts w:ascii="Arial" w:cs="Arial" w:eastAsia="Arial" w:hAnsi="Arial"/>
                <w:sz w:val="14"/>
                <w:szCs w:val="14"/>
                <w:b w:val="1"/>
                <w:bCs w:val="1"/>
                <w:color w:val="auto"/>
              </w:rPr>
              <w:t>Three Months Ended December 31, 2012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20" w:type="dxa"/>
            <w:vAlign w:val="bottom"/>
            <w:gridSpan w:val="5"/>
          </w:tcPr>
          <w:p>
            <w:pPr>
              <w:jc w:val="right"/>
              <w:ind w:right="534"/>
              <w:spacing w:after="0" w:line="142" w:lineRule="exact"/>
              <w:rPr>
                <w:sz w:val="20"/>
                <w:szCs w:val="20"/>
                <w:color w:val="auto"/>
              </w:rPr>
            </w:pPr>
            <w:r>
              <w:rPr>
                <w:rFonts w:ascii="Arial" w:cs="Arial" w:eastAsia="Arial" w:hAnsi="Arial"/>
                <w:sz w:val="14"/>
                <w:szCs w:val="14"/>
                <w:b w:val="1"/>
                <w:bCs w:val="1"/>
                <w:color w:val="auto"/>
              </w:rPr>
              <w:t>Six Months Ended December 31, 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92"/>
              </w:rPr>
              <w:t>Purchased</w:t>
            </w: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7"/>
              </w:rPr>
              <w:t>Originated</w:t>
            </w: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LASG</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w w:val="97"/>
              </w:rPr>
              <w:t>Purchased</w:t>
            </w: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7"/>
              </w:rPr>
              <w:t>Originated</w:t>
            </w: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9"/>
              </w:rPr>
              <w:t>Total LASG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5"/>
          </w:tcPr>
          <w:p>
            <w:pPr>
              <w:jc w:val="right"/>
              <w:ind w:right="416"/>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Purchased or originated during the period: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47,295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4,026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51,321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89,568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12,825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32,864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4,026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36,890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64,213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12,825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Totals as of period end: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172,030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15,937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133,724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15,945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149,669</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Returns during the period:</w:t>
            </w:r>
          </w:p>
        </w:tc>
        <w:tc>
          <w:tcPr>
            <w:tcW w:w="2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Yield</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13.34%</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9.72%</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12.96%</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14.09%</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9.65%</w:t>
            </w:r>
          </w:p>
        </w:tc>
        <w:tc>
          <w:tcPr>
            <w:tcW w:w="96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Return (1)</w:t>
            </w:r>
          </w:p>
        </w:tc>
        <w:tc>
          <w:tcPr>
            <w:tcW w:w="2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15.95%</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9.72%</w:t>
            </w: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15.30%</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16.53%</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9.65%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20" w:firstLine="8"/>
        <w:spacing w:after="0" w:line="277" w:lineRule="auto"/>
        <w:tabs>
          <w:tab w:leader="none" w:pos="2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assets increased by $35.5 million, or 5.3%, to $704.7 million at December 31, 2012, compared to June 30, 2012. The principal components of the change in the balance sheet were as follows:</w:t>
      </w:r>
    </w:p>
    <w:p>
      <w:pPr>
        <w:spacing w:after="0" w:line="170" w:lineRule="exact"/>
        <w:rPr>
          <w:sz w:val="20"/>
          <w:szCs w:val="20"/>
          <w:color w:val="auto"/>
        </w:rPr>
      </w:pPr>
    </w:p>
    <w:p>
      <w:pPr>
        <w:ind w:left="660" w:right="10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loan portfolio grew by $36.3 million, or 10.2%, principally due to net growth of $49.3 million in the purchased loan portfolio and $10.9 million of commercial loans originated by the LASG, offset in part by net amortization and payoffs of $23.8 million in the Community Banking Division loan portfolio.</w:t>
      </w:r>
    </w:p>
    <w:p>
      <w:pPr>
        <w:ind w:left="660" w:right="34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Deposits increased by $79.3 million, or 18.8%, due to a $38.7 million increase in deposits raised through ableBanking, the Bank’s online affinity deposit platform, and $40.6 million raised through the Community Banking Division’s branch network and deposit listing service referrals.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Borrowed funds decreased by $40.3 million, or 33.9%, as a result of the repayment of structured repurchased agreements.</w:t>
      </w:r>
    </w:p>
    <w:p>
      <w:pPr>
        <w:spacing w:after="0" w:line="9" w:lineRule="exact"/>
        <w:rPr>
          <w:rFonts w:ascii="Arial" w:cs="Arial" w:eastAsia="Arial" w:hAnsi="Arial"/>
          <w:sz w:val="18"/>
          <w:szCs w:val="18"/>
          <w:color w:val="auto"/>
        </w:rPr>
      </w:pPr>
    </w:p>
    <w:p>
      <w:pPr>
        <w:ind w:left="660" w:right="58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Stockholders’ equity decreased by $4.2 million, or 3.5%, primarily due to the redemption of TARP preferred stock and warrants totaling $4.3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Short-term Investments and Securities</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Cash and short-term investments were $127.6 million as of December 31, 2012, a decrease of $662 thousand, or 0.5%, from $128.3 million at June 30, 2012. This decrease is principally the result of the following balance sheet changes: (i) net loan growth of $36.3 million, (ii) net reduction in borrowed funds of</w:t>
      </w:r>
    </w:p>
    <w:p>
      <w:pPr>
        <w:sectPr>
          <w:pgSz w:w="11900" w:h="16975" w:orient="portrait"/>
          <w:cols w:equalWidth="0" w:num="1">
            <w:col w:w="11420"/>
          </w:cols>
          <w:pgMar w:left="240" w:top="125" w:right="239" w:bottom="0" w:gutter="0" w:footer="0" w:header="0"/>
        </w:sectPr>
      </w:pPr>
    </w:p>
    <w:bookmarkStart w:id="24" w:name="page25"/>
    <w:bookmarkEnd w:id="24"/>
    <w:p>
      <w:pPr>
        <w:ind w:right="560"/>
        <w:spacing w:after="0" w:line="277" w:lineRule="auto"/>
        <w:rPr>
          <w:sz w:val="20"/>
          <w:szCs w:val="20"/>
          <w:color w:val="auto"/>
        </w:rPr>
      </w:pPr>
      <w:r>
        <w:rPr>
          <w:rFonts w:ascii="Arial" w:cs="Arial" w:eastAsia="Arial" w:hAnsi="Arial"/>
          <w:sz w:val="18"/>
          <w:szCs w:val="18"/>
          <w:color w:val="auto"/>
        </w:rPr>
        <w:t>$40.3 million, (iii) a net reduction in stockholders’ equity of $4.2 million, principally due to the redemption of TARP preferred stock and warrants, and (iv) net deposit growth of $79.3 million.</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Available-for-sale securities, consisting of securities issued by government agencies and government-sponsored enterprises, totaled $133.4 million as of December 31, 2012. At December 31, 2012, securities with a fair value of $43.1 million were pledged for outstanding borrowings.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Total loans, excluding loans held for sale, amounted to $392.6 million as of December 31, 2012, an increase of $36.3 million, or 10.2%, from $356.3 million as of June 30, 2012. The increase consisted of growth in the purchased loan portfolio of $49.3 million, partially offset by a $12.9 million decrease in originated loans. The net decrease in originated loans consisted of an $23.8 million decrease in loans originated by the Community Banking Division and a net increase of $10.9 million of LASG originated commercial loans. The decrease in Community Banking Division loans was principally due to net runoff in residential and commercial real estate loan portfolios.</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continues to sell most of its originated fixed-rate residential real estate loans in the secondary market. The principal balance of residential real estate loans sold during the three months ended December 31, 2012 totaled $75.6 million, resulting in net gains of $1.7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left="534"/>
              <w:spacing w:after="0"/>
              <w:rPr>
                <w:sz w:val="20"/>
                <w:szCs w:val="20"/>
                <w:color w:val="auto"/>
              </w:rPr>
            </w:pPr>
            <w:r>
              <w:rPr>
                <w:rFonts w:ascii="Arial" w:cs="Arial" w:eastAsia="Arial" w:hAnsi="Arial"/>
                <w:sz w:val="14"/>
                <w:szCs w:val="14"/>
                <w:b w:val="1"/>
                <w:bCs w:val="1"/>
                <w:color w:val="auto"/>
                <w:w w:val="91"/>
              </w:rPr>
              <w:t>December 31, 2012</w:t>
            </w: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Community</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LASG</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5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Percent of 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Banking Division</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8"/>
          </w:tcPr>
          <w:p>
            <w:pPr>
              <w:jc w:val="center"/>
              <w:ind w:right="5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84,527</w:t>
            </w:r>
          </w:p>
        </w:tc>
        <w:tc>
          <w:tcPr>
            <w:tcW w:w="20" w:type="dxa"/>
            <w:vAlign w:val="bottom"/>
          </w:tcPr>
          <w:p>
            <w:pPr>
              <w:spacing w:after="0"/>
              <w:rPr>
                <w:sz w:val="18"/>
                <w:szCs w:val="18"/>
                <w:color w:val="auto"/>
              </w:rPr>
            </w:pPr>
          </w:p>
        </w:tc>
        <w:tc>
          <w:tcPr>
            <w:tcW w:w="52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480" w:type="dxa"/>
            <w:vAlign w:val="bottom"/>
            <w:gridSpan w:val="2"/>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84,678</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21.58%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39,041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39,041</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90,682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12,389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103,071</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26.26%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13,729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17,134</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14,893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14,893</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ind w:left="360"/>
              <w:spacing w:after="0"/>
              <w:rPr>
                <w:sz w:val="20"/>
                <w:szCs w:val="20"/>
                <w:color w:val="auto"/>
              </w:rPr>
            </w:pPr>
            <w:r>
              <w:rPr>
                <w:rFonts w:ascii="Arial" w:cs="Arial" w:eastAsia="Arial" w:hAnsi="Arial"/>
                <w:sz w:val="18"/>
                <w:szCs w:val="18"/>
                <w:color w:val="auto"/>
              </w:rPr>
              <w:t>Subtotal</w:t>
            </w:r>
          </w:p>
        </w:tc>
        <w:tc>
          <w:tcPr>
            <w:tcW w:w="1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258,859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65.94%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4,254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4,254</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129,470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129,470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Subtotal</w:t>
            </w:r>
          </w:p>
        </w:tc>
        <w:tc>
          <w:tcPr>
            <w:tcW w:w="11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133,724</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133,724</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34.06%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242,914</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149,669</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392,583</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left="554"/>
              <w:spacing w:after="0"/>
              <w:rPr>
                <w:sz w:val="20"/>
                <w:szCs w:val="20"/>
                <w:color w:val="auto"/>
              </w:rPr>
            </w:pPr>
            <w:r>
              <w:rPr>
                <w:rFonts w:ascii="Arial" w:cs="Arial" w:eastAsia="Arial" w:hAnsi="Arial"/>
                <w:sz w:val="14"/>
                <w:szCs w:val="14"/>
                <w:b w:val="1"/>
                <w:bCs w:val="1"/>
                <w:color w:val="auto"/>
                <w:w w:val="90"/>
              </w:rPr>
              <w:t>June 30, 2012</w:t>
            </w: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Community</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LASG</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5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Percent of 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Banking Division</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8"/>
          </w:tcPr>
          <w:p>
            <w:pPr>
              <w:jc w:val="center"/>
              <w:ind w:right="5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90,793</w:t>
            </w:r>
          </w:p>
        </w:tc>
        <w:tc>
          <w:tcPr>
            <w:tcW w:w="52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151</w:t>
            </w:r>
          </w:p>
        </w:tc>
        <w:tc>
          <w:tcPr>
            <w:tcW w:w="48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90,944</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25.53%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42,696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42,696</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97,146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3,050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100,196</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28.12%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1,187</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17,732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1,880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19,612</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17,149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17,149</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ind w:left="360"/>
              <w:spacing w:after="0"/>
              <w:rPr>
                <w:sz w:val="20"/>
                <w:szCs w:val="20"/>
                <w:color w:val="auto"/>
              </w:rPr>
            </w:pPr>
            <w:r>
              <w:rPr>
                <w:rFonts w:ascii="Arial" w:cs="Arial" w:eastAsia="Arial" w:hAnsi="Arial"/>
                <w:sz w:val="18"/>
                <w:szCs w:val="18"/>
                <w:color w:val="auto"/>
              </w:rPr>
              <w:t>Subtotal</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266,703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5,081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271,784</w:t>
            </w:r>
          </w:p>
        </w:tc>
        <w:tc>
          <w:tcPr>
            <w:tcW w:w="2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76.28%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3,931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80,539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80,539</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Subtotal</w:t>
            </w:r>
          </w:p>
        </w:tc>
        <w:tc>
          <w:tcPr>
            <w:tcW w:w="1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84,470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84,470</w:t>
            </w:r>
          </w:p>
        </w:tc>
        <w:tc>
          <w:tcPr>
            <w:tcW w:w="2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23.72%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266,703</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89,551</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356,254</w:t>
            </w: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9"/>
              </w:rPr>
              <w:t>34</w:t>
            </w: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Loans are classified as non-performing when 90 days past due, unless a loan is well-secured and in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4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Loans classified as TDRs remain classified as such until the loan is paid off.</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ectPr>
          <w:pgSz w:w="11900" w:h="16838" w:orient="portrait"/>
          <w:cols w:equalWidth="0" w:num="1">
            <w:col w:w="11460"/>
          </w:cols>
          <w:pgMar w:left="240" w:top="125" w:right="199" w:bottom="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following table shows details the Company’s nonperforming assets and other credit quality indicators as of December 31, 2012 and June 30, 2012. The net increase in nonperforming assets during the six months ended December 31, 2012 was principally due to a net increase in nonperforming LASG loans and OREO of $1.1 million and $1.5 million, respectively. Increases in both nonperforming assets and past due loans during the six months ended December 31, 2012 were principally due to acquisition of nonperforming and subperforming loans incidental to larger acquisitions. Management believes that, based on their carrying amounts, nonperforming assets are well secured based on the estimated fair value of underlying collateral.</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9"/>
          </w:tcPr>
          <w:p>
            <w:pPr>
              <w:jc w:val="center"/>
              <w:ind w:right="31"/>
              <w:spacing w:after="0"/>
              <w:rPr>
                <w:sz w:val="20"/>
                <w:szCs w:val="20"/>
                <w:color w:val="auto"/>
              </w:rPr>
            </w:pPr>
            <w:r>
              <w:rPr>
                <w:rFonts w:ascii="Arial" w:cs="Arial" w:eastAsia="Arial" w:hAnsi="Arial"/>
                <w:sz w:val="14"/>
                <w:szCs w:val="14"/>
                <w:b w:val="1"/>
                <w:bCs w:val="1"/>
                <w:color w:val="auto"/>
                <w:w w:val="91"/>
              </w:rPr>
              <w:t>Non-Performing Assets at December 31, 2012</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Community</w:t>
            </w:r>
          </w:p>
        </w:tc>
        <w:tc>
          <w:tcPr>
            <w:tcW w:w="280" w:type="dxa"/>
            <w:vAlign w:val="bottom"/>
          </w:tcPr>
          <w:p>
            <w:pPr>
              <w:spacing w:after="0"/>
              <w:rPr>
                <w:sz w:val="10"/>
                <w:szCs w:val="10"/>
                <w:color w:val="auto"/>
              </w:rPr>
            </w:pPr>
          </w:p>
        </w:tc>
        <w:tc>
          <w:tcPr>
            <w:tcW w:w="12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rPr>
              <w:t>LASG</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Banking Division</w:t>
            </w:r>
          </w:p>
        </w:tc>
        <w:tc>
          <w:tcPr>
            <w:tcW w:w="2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3,512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3,512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w:t>
            </w: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624</w:t>
            </w:r>
          </w:p>
        </w:tc>
        <w:tc>
          <w:tcPr>
            <w:tcW w:w="2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2,144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2,768</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36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5,045</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Repossessed collateral</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1,117</w:t>
            </w: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1,516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2,633</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1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3,660</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9,822</w:t>
            </w:r>
          </w:p>
        </w:tc>
        <w:tc>
          <w:tcPr>
            <w:tcW w:w="160" w:type="dxa"/>
            <w:vAlign w:val="bottom"/>
            <w:tcBorders>
              <w:bottom w:val="single" w:sz="8" w:color="CCEEFF"/>
            </w:tcBorders>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1.83%</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1,336</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 risk rated substandard or worse</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2,663</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accrual status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On nonaccrual status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1,130</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8"/>
          </w:tcPr>
          <w:p>
            <w:pPr>
              <w:jc w:val="center"/>
              <w:ind w:left="715"/>
              <w:spacing w:after="0"/>
              <w:rPr>
                <w:sz w:val="20"/>
                <w:szCs w:val="20"/>
                <w:color w:val="auto"/>
              </w:rPr>
            </w:pPr>
            <w:r>
              <w:rPr>
                <w:rFonts w:ascii="Arial" w:cs="Arial" w:eastAsia="Arial" w:hAnsi="Arial"/>
                <w:sz w:val="14"/>
                <w:szCs w:val="14"/>
                <w:b w:val="1"/>
                <w:bCs w:val="1"/>
                <w:color w:val="auto"/>
                <w:w w:val="91"/>
              </w:rPr>
              <w:t>Non-Performing Assets at June 30, 2012</w:t>
            </w: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Community</w:t>
            </w:r>
          </w:p>
        </w:tc>
        <w:tc>
          <w:tcPr>
            <w:tcW w:w="280" w:type="dxa"/>
            <w:vAlign w:val="bottom"/>
          </w:tcPr>
          <w:p>
            <w:pPr>
              <w:spacing w:after="0"/>
              <w:rPr>
                <w:sz w:val="10"/>
                <w:szCs w:val="10"/>
                <w:color w:val="auto"/>
              </w:rPr>
            </w:pPr>
          </w:p>
        </w:tc>
        <w:tc>
          <w:tcPr>
            <w:tcW w:w="12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rPr>
              <w:t>LASG</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Banking Division</w:t>
            </w:r>
          </w:p>
        </w:tc>
        <w:tc>
          <w:tcPr>
            <w:tcW w:w="2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3,090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460" w:type="dxa"/>
            <w:vAlign w:val="bottom"/>
            <w:gridSpan w:val="2"/>
          </w:tcPr>
          <w:p>
            <w:pPr>
              <w:jc w:val="right"/>
              <w:ind w:right="3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3,090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1,472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1,008</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1,008</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36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Repossessed collateral</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CEEFF"/>
            </w:tcBorders>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1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gridSpan w:val="2"/>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6,948</w:t>
            </w:r>
          </w:p>
        </w:tc>
        <w:tc>
          <w:tcPr>
            <w:tcW w:w="160" w:type="dxa"/>
            <w:vAlign w:val="bottom"/>
            <w:tcBorders>
              <w:bottom w:val="single" w:sz="8" w:color="CCEEFF"/>
            </w:tcBorders>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1.72%</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3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 risk rated substandard or worse</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2,486</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accrual status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1,165</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Nonaccrual status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ind w:right="3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415"/>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with FHB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Company’s allowance for loan losses was $875 thousand as of December 31, 2012, which represents an increase of $51 thousand from $824 thousand as of June 30, 2012. The increase during the six months ended December 31, 2012 was principally due to an increase in specific reserves on TDRs.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9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 2012</w:t>
            </w:r>
          </w:p>
        </w:tc>
        <w:tc>
          <w:tcPr>
            <w:tcW w:w="28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June 30, 2012</w:t>
            </w:r>
          </w:p>
        </w:tc>
        <w:tc>
          <w:tcPr>
            <w:tcW w:w="28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 2011</w:t>
            </w:r>
          </w:p>
        </w:tc>
        <w:tc>
          <w:tcPr>
            <w:tcW w:w="280" w:type="dxa"/>
            <w:vAlign w:val="bottom"/>
            <w:tcBorders>
              <w:bottom w:val="single" w:sz="8" w:color="CCEEFF"/>
            </w:tcBorders>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8"/>
              </w:rPr>
              <w:t>Allowance for loan losses to nonperforming loans</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w:t>
            </w:r>
          </w:p>
        </w:tc>
      </w:tr>
    </w:tbl>
    <w:p>
      <w:pPr>
        <w:sectPr>
          <w:pgSz w:w="11900" w:h="16838" w:orient="portrait"/>
          <w:cols w:equalWidth="0" w:num="1">
            <w:col w:w="11460"/>
          </w:cols>
          <w:pgMar w:left="240" w:top="341" w:right="199" w:bottom="0" w:gutter="0" w:footer="0" w:header="0"/>
        </w:sectPr>
      </w:pPr>
    </w:p>
    <w:bookmarkStart w:id="26" w:name="page27"/>
    <w:bookmarkEnd w:id="26"/>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2460" w:type="dxa"/>
            <w:vAlign w:val="bottom"/>
          </w:tcPr>
          <w:p>
            <w:pPr>
              <w:jc w:val="right"/>
              <w:ind w:right="670"/>
              <w:spacing w:after="0"/>
              <w:rPr>
                <w:sz w:val="20"/>
                <w:szCs w:val="20"/>
                <w:color w:val="auto"/>
              </w:rPr>
            </w:pPr>
            <w:r>
              <w:rPr>
                <w:rFonts w:ascii="Arial" w:cs="Arial" w:eastAsia="Arial" w:hAnsi="Arial"/>
                <w:sz w:val="18"/>
                <w:szCs w:val="18"/>
                <w:color w:val="auto"/>
              </w:rPr>
              <w:t>0.22%</w:t>
            </w:r>
          </w:p>
        </w:tc>
        <w:tc>
          <w:tcPr>
            <w:tcW w:w="2000" w:type="dxa"/>
            <w:vAlign w:val="bottom"/>
          </w:tcPr>
          <w:p>
            <w:pPr>
              <w:jc w:val="right"/>
              <w:ind w:right="690"/>
              <w:spacing w:after="0"/>
              <w:rPr>
                <w:sz w:val="20"/>
                <w:szCs w:val="20"/>
                <w:color w:val="auto"/>
              </w:rPr>
            </w:pPr>
            <w:r>
              <w:rPr>
                <w:rFonts w:ascii="Arial" w:cs="Arial" w:eastAsia="Arial" w:hAnsi="Arial"/>
                <w:sz w:val="18"/>
                <w:szCs w:val="18"/>
                <w:color w:val="auto"/>
              </w:rPr>
              <w:t>0.23%</w:t>
            </w:r>
          </w:p>
        </w:tc>
        <w:tc>
          <w:tcPr>
            <w:tcW w:w="1220" w:type="dxa"/>
            <w:vAlign w:val="bottom"/>
          </w:tcPr>
          <w:p>
            <w:pPr>
              <w:jc w:val="right"/>
              <w:spacing w:after="0"/>
              <w:rPr>
                <w:sz w:val="20"/>
                <w:szCs w:val="20"/>
                <w:color w:val="auto"/>
              </w:rPr>
            </w:pPr>
            <w:r>
              <w:rPr>
                <w:rFonts w:ascii="Arial" w:cs="Arial" w:eastAsia="Arial" w:hAnsi="Arial"/>
                <w:sz w:val="18"/>
                <w:szCs w:val="18"/>
                <w:color w:val="auto"/>
              </w:rPr>
              <w:t>0.21%</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cash surrender value of the Company’s bank-owned life insurance (“BOLI”) assets decreased $147 thousand, or 1.0% to $14.1 million at December 31, 2012, compared to $14.3 million at June 30, 2012. The decrease during the period represents earnings of $481 thousand, offset by death benefit proceeds received of $628 thousand.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11.7% of the Company’s total risk-based capital at December 31, 2012.</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Intangible assets totaled $4.0 million and $4.5 million at December 31, 2012 and June 30, 2012, respectively. The $530 thousand decrease was the result of core deposit intangible asset amortization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Borrowed Funds, 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December 31, 2012, non-maturity accounts and certificates of deposit with balances less than $250 thousand represented 98.4% of total deposits.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Total deposits increased $79.3 million to $501.5 million as of December 31, 2012 from $422.2 million as of June 30, 2012. The increase was the result of a $38.7 million increase in deposits raised through ableBanking, the Bank’s online affinity deposit platform, $12.9 million raised through the Bank’s community banking branch network, and $27.7 million generated through deposit listing service referrals. The composition of total deposits at December 31, 2012 and June 30, 2012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3"/>
              </w:rPr>
              <w:t>December 31, 2012</w:t>
            </w: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June 30, 2012</w:t>
            </w: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454"/>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w w:val="89"/>
              </w:rPr>
              <w:t>Total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6"/>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48,136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45,323</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NOW accounts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54,304</w:t>
            </w:r>
          </w:p>
        </w:tc>
        <w:tc>
          <w:tcPr>
            <w:tcW w:w="3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57,477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31,927</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32,727</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Money market deposits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58,351</w:t>
            </w:r>
          </w:p>
        </w:tc>
        <w:tc>
          <w:tcPr>
            <w:tcW w:w="3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11.63%</w:t>
            </w:r>
          </w:p>
        </w:tc>
        <w:tc>
          <w:tcPr>
            <w:tcW w:w="24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45,024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non-certificate accounts</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192,718</w:t>
            </w:r>
          </w:p>
        </w:tc>
        <w:tc>
          <w:tcPr>
            <w:tcW w:w="7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38.43%</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180,551</w:t>
            </w:r>
          </w:p>
        </w:tc>
        <w:tc>
          <w:tcPr>
            <w:tcW w:w="7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w w:val="92"/>
              </w:rPr>
              <w:t>Term certificates less than $250 thousand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300,985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60.01%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232,948</w:t>
            </w:r>
          </w:p>
        </w:tc>
        <w:tc>
          <w:tcPr>
            <w:tcW w:w="7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Term certificates of $250 thousand or</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more</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7,815</w:t>
            </w: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8,689</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certificate accounts</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308,800</w:t>
            </w:r>
          </w:p>
        </w:tc>
        <w:tc>
          <w:tcPr>
            <w:tcW w:w="7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61.57%</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241,637</w:t>
            </w:r>
          </w:p>
        </w:tc>
        <w:tc>
          <w:tcPr>
            <w:tcW w:w="7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501,518</w:t>
            </w:r>
          </w:p>
        </w:tc>
        <w:tc>
          <w:tcPr>
            <w:tcW w:w="7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100.00%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422,188</w:t>
            </w:r>
          </w:p>
        </w:tc>
        <w:tc>
          <w:tcPr>
            <w:tcW w:w="7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Borrowed Funds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Advances from the FHLB were $43.2 million and $43.5 million at December 31, 2012 and June 30, 2012, respectively. At December 31, 2012, the Company had pledged investment securities with a fair value of $12.2 million, as well as certain residential real estate loans, commercial real estate loans, and FHLB deposits free of liens or pledges to secure outstanding advances and available additional borrowing capacity.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Structured repurchase agreements were $25.6 million and $66.2 million at December 31, 2012 and June 30, 2012, respectively. During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six months ended December 31, 2012, the Company repaid at maturity structured repurchase agreements totaling $40.0 million. At December 31, 2012, the Company had pledged investment securities with a fair value of $30.9 million as collateral for outstanding structured repurchase agreements.</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Short-term borrowings, consisting of sweep accounts, were $1.6 million and $1.2 million as of December 31, 2012 and June 30, 2012, respectively. At December 31, 2012, sweep accounts were secured by a letter of credit issued by the FHLB totaling $2.0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is a summary of the liquidity the Company had the ability to access as of December 31, 2012, in addition to traditional retail deposit products.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175,883</w:t>
            </w: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6,200</w:t>
            </w:r>
          </w:p>
        </w:tc>
        <w:tc>
          <w:tcPr>
            <w:tcW w:w="4860" w:type="dxa"/>
            <w:vAlign w:val="bottom"/>
          </w:tcPr>
          <w:p>
            <w:pPr>
              <w:ind w:left="200"/>
              <w:spacing w:after="0"/>
              <w:rPr>
                <w:sz w:val="20"/>
                <w:szCs w:val="20"/>
                <w:color w:val="auto"/>
              </w:rPr>
            </w:pPr>
            <w:r>
              <w:rPr>
                <w:rFonts w:ascii="Arial" w:cs="Arial" w:eastAsia="Arial" w:hAnsi="Arial"/>
                <w:sz w:val="18"/>
                <w:szCs w:val="18"/>
                <w:color w:val="auto"/>
              </w:rPr>
              <w:t>Subject to eligible and qualified collateral</w:t>
            </w: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Reserve Discount Window Borrower-</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Subject to the pledge of indirect auto loans</w:t>
            </w:r>
          </w:p>
        </w:tc>
      </w:tr>
      <w:tr>
        <w:trPr>
          <w:trHeight w:val="23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in-Custody</w:t>
            </w: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4860" w:type="dxa"/>
            <w:vAlign w:val="bottom"/>
            <w:shd w:val="clear" w:color="auto" w:fill="CCEEFF"/>
          </w:tcPr>
          <w:p>
            <w:pPr>
              <w:spacing w:after="0"/>
              <w:rPr>
                <w:sz w:val="20"/>
                <w:szCs w:val="20"/>
                <w:color w:val="auto"/>
              </w:rPr>
            </w:pP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Total unused borrowing capacity</w:t>
            </w: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182,255</w:t>
            </w:r>
          </w:p>
        </w:tc>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Unencumbered investment securities</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90,297</w:t>
            </w:r>
          </w:p>
        </w:tc>
        <w:tc>
          <w:tcPr>
            <w:tcW w:w="4860" w:type="dxa"/>
            <w:vAlign w:val="bottom"/>
            <w:shd w:val="clear" w:color="auto" w:fill="CCEEFF"/>
          </w:tcPr>
          <w:p>
            <w:pPr>
              <w:spacing w:after="0"/>
              <w:rPr>
                <w:sz w:val="18"/>
                <w:szCs w:val="18"/>
                <w:color w:val="auto"/>
              </w:rPr>
            </w:pP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Total sources of liquidity</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272,552</w:t>
            </w:r>
          </w:p>
        </w:tc>
        <w:tc>
          <w:tcPr>
            <w:tcW w:w="2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27" w:name="page28"/>
    <w:bookmarkEnd w:id="27"/>
    <w:p>
      <w:pPr>
        <w:ind w:right="100"/>
        <w:spacing w:after="0" w:line="257" w:lineRule="auto"/>
        <w:rPr>
          <w:sz w:val="20"/>
          <w:szCs w:val="20"/>
          <w:color w:val="auto"/>
        </w:rPr>
      </w:pPr>
      <w:r>
        <w:rPr>
          <w:rFonts w:ascii="Arial" w:cs="Arial" w:eastAsia="Arial" w:hAnsi="Arial"/>
          <w:sz w:val="18"/>
          <w:szCs w:val="18"/>
          <w:color w:val="auto"/>
        </w:rPr>
        <w:t>Retail deposits and other core deposit sources including deposit listing services are used by the Company to manage its overall liquidity position. While the Company currently does not seek wholesale funding such as FHLB advances and brokered deposits, the ability to raise them remains an important part of its liquidity contingency planning. While management closely monitors and forecasts the Company’s liquidity position, it is affected by asset growth, deposit withdrawals and other contractual obligations and commitments. The accuracy of management’s forecast assumptions may increase or decrease the Company’s overall available liquidity.</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31, 2012, the Company had $272.6 million of immediately accessible liquidity, defined as cash that could be raised within seven days through collateralized borrowings, brokered deposits or security sales. This position represented 39% of total assets. The Company also had $127.6 million of cash and cash equivalents at December 31, 2012. This relatively high level of short-term liquidity is intended, in part, for future purchases of commercial loans by the LASG.</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Management believes that there are adequate funding sources to meet its liquidity needs for the foreseeable future. Primary funding sources are the repayment of principal and interest on loans, the renewal of time deposits, the potential growth in the deposit base, and the credit availability from the FHLB and the Federal Reserve’s Borrower-in-Custody program. Management does not believe that the terms and conditions that will be present at the renewal of these funding sources will significantly impact the Company’s operations, due to its management of the maturities of its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carrying amount and unpaid principal balance of junior subordinated debentures totaled $8.2 million and $16.5 million, respectively, as of December 31, 2012. This debt represents qualifying Tier 1 capital for the Company, up to a maximum of 25% of total Tier 1 capital. At December 31, 2012, the carrying amounts of the junior subordinated notes, net of the Company’s $496 thousand investment in the affiliated trusts, qualified as Tier 1 capital.</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Total stockholders’ equity was $114.9 million and $119.1 million at December 31, 2012 and June 30, 2012, respectively. The change reflects net income for the period, repayment of TARP preferred stock and warrants, dividends paid, and other comprehensive loss during the period. Book value per outstanding common share was $11.07 at December 31, 2012 and June 30, 2012. Tier 1 capital to total average assets of the Company was 17.44% as of December 31, 2012 and 19.91% at June 30, 2012.</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the risk-based capital requirements, the Federal Reserve requires top-rated bank holding companies to maintain a minimum leverage capital ratio of Tier 1 capital (defined by reference to the risk-based capital guidelines) to its average total consolidated assets of at least 3.0%. For most other bank holding companies (including the Company), the minimum leverage capital ratio is 4.0%. Bank holding companies with supervisory, financial, operational or managerial weaknesses, as well as bank holding companies that are anticipating or experiencing significant growth, are expected to maintain capital ratios well above the minimum levels.</w:t>
      </w:r>
    </w:p>
    <w:p>
      <w:pPr>
        <w:spacing w:after="0" w:line="188" w:lineRule="exact"/>
        <w:rPr>
          <w:sz w:val="20"/>
          <w:szCs w:val="20"/>
          <w:color w:val="auto"/>
        </w:rPr>
      </w:pPr>
    </w:p>
    <w:p>
      <w:pPr>
        <w:ind w:firstLine="54"/>
        <w:spacing w:after="0" w:line="272" w:lineRule="auto"/>
        <w:rPr>
          <w:sz w:val="20"/>
          <w:szCs w:val="20"/>
          <w:color w:val="auto"/>
        </w:rPr>
      </w:pPr>
      <w:r>
        <w:rPr>
          <w:rFonts w:ascii="Arial" w:cs="Arial" w:eastAsia="Arial" w:hAnsi="Arial"/>
          <w:sz w:val="17"/>
          <w:szCs w:val="17"/>
          <w:color w:val="auto"/>
        </w:rPr>
        <w:t>The Federal Reserve’s capital adequacy standards also apply to state-chartered banks that are members of the Federal Reserve System, such as the Bank. Moreover, the Federal Reserve has promulgated corresponding regulations to implement the system of prompt corrective action established by Section 38 of the Federal Deposit Insurance Act. Under these regulations, a bank is “well capitalized” if it has: (i) a total risk-based capital ratio of 10.0% or greater; (ii) a Tier 1 risk-based capital ratio of 6.0% or greater; (iii) a leverage capital ratio of 5.0% or greater; and (iv) is not subject to any written agreement, order, capital directive or prompt corrective action directive to meet and maintain a specific capital level for any capital measure. A bank is “adequately capitalized” if it has: (1) a total risk-based capital ratio of 8.0% or greater; (2) a Tier 1 risk-based capital ratio of 4.0% or greater; and (3) a leverage capital ratio of 4.0% or greater (3.0% under certain circumstances) and does not meet the definition of a “well capitalized bank.”</w:t>
      </w:r>
    </w:p>
    <w:p>
      <w:pPr>
        <w:spacing w:after="0" w:line="178" w:lineRule="exact"/>
        <w:rPr>
          <w:sz w:val="20"/>
          <w:szCs w:val="20"/>
          <w:color w:val="auto"/>
        </w:rPr>
      </w:pPr>
    </w:p>
    <w:p>
      <w:pPr>
        <w:jc w:val="both"/>
        <w:ind w:right="100" w:firstLine="54"/>
        <w:spacing w:after="0" w:line="277" w:lineRule="auto"/>
        <w:rPr>
          <w:sz w:val="20"/>
          <w:szCs w:val="20"/>
          <w:color w:val="auto"/>
        </w:rPr>
      </w:pPr>
      <w:r>
        <w:rPr>
          <w:rFonts w:ascii="Arial" w:cs="Arial" w:eastAsia="Arial" w:hAnsi="Arial"/>
          <w:sz w:val="18"/>
          <w:szCs w:val="18"/>
          <w:color w:val="auto"/>
        </w:rPr>
        <w:t>The Federal Reserve also must take into consideration: (i) concentrations of credit risk; (ii) interest rate risk; and (iii) risks from non-traditional activities, as well as an institution’s ability to manage those risks when determining the adequacy of an institution’s capital.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evaluation will be made as a part of the institution’s regular safety and soundness examination. The Bank is currently considered well-capitalized under all regulatory definitions.</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Further, the Bank and the Company are subject to capital commitments with the Federal Reserve and the Bureau that require higher minimum capital ratios. These commitments require that the Company and the Bank (i) maintain a Tier 1 leverage ratio of at least 10%, (ii) maintain a total risk-based capital ratio of at least 15%, The Bank and the Company were in compliance with these commitments at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and the Bank’s regulatory capital ratios are set forth below.</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left="540"/>
              <w:spacing w:after="0"/>
              <w:rPr>
                <w:sz w:val="20"/>
                <w:szCs w:val="20"/>
                <w:color w:val="auto"/>
              </w:rPr>
            </w:pPr>
            <w:r>
              <w:rPr>
                <w:rFonts w:ascii="Arial" w:cs="Arial" w:eastAsia="Arial" w:hAnsi="Arial"/>
                <w:sz w:val="14"/>
                <w:szCs w:val="14"/>
                <w:b w:val="1"/>
                <w:bCs w:val="1"/>
                <w:color w:val="auto"/>
                <w:w w:val="97"/>
              </w:rPr>
              <w:t>Minimum</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restart"/>
          </w:tcPr>
          <w:p>
            <w:pPr>
              <w:jc w:val="center"/>
              <w:ind w:left="499"/>
              <w:spacing w:after="0"/>
              <w:rPr>
                <w:sz w:val="20"/>
                <w:szCs w:val="20"/>
                <w:color w:val="auto"/>
              </w:rPr>
            </w:pPr>
            <w:r>
              <w:rPr>
                <w:rFonts w:ascii="Arial" w:cs="Arial" w:eastAsia="Arial" w:hAnsi="Arial"/>
                <w:sz w:val="14"/>
                <w:szCs w:val="14"/>
                <w:b w:val="1"/>
                <w:bCs w:val="1"/>
                <w:color w:val="auto"/>
                <w:w w:val="97"/>
              </w:rPr>
              <w:t>Minimum</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left="540"/>
              <w:spacing w:after="0" w:line="149" w:lineRule="exact"/>
              <w:rPr>
                <w:sz w:val="20"/>
                <w:szCs w:val="20"/>
                <w:color w:val="auto"/>
              </w:rPr>
            </w:pPr>
            <w:r>
              <w:rPr>
                <w:rFonts w:ascii="Arial" w:cs="Arial" w:eastAsia="Arial" w:hAnsi="Arial"/>
                <w:sz w:val="14"/>
                <w:szCs w:val="14"/>
                <w:b w:val="1"/>
                <w:bCs w:val="1"/>
                <w:color w:val="auto"/>
                <w:w w:val="94"/>
              </w:rPr>
              <w:t>To Be Well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Capitalized Under</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Actual</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left="499"/>
              <w:spacing w:after="0" w:line="149" w:lineRule="exact"/>
              <w:rPr>
                <w:sz w:val="20"/>
                <w:szCs w:val="20"/>
                <w:color w:val="auto"/>
              </w:rPr>
            </w:pPr>
            <w:r>
              <w:rPr>
                <w:rFonts w:ascii="Arial" w:cs="Arial" w:eastAsia="Arial" w:hAnsi="Arial"/>
                <w:sz w:val="14"/>
                <w:szCs w:val="14"/>
                <w:b w:val="1"/>
                <w:bCs w:val="1"/>
                <w:color w:val="auto"/>
                <w:w w:val="94"/>
              </w:rPr>
              <w:t>Capital</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Prompt Correction</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left="479"/>
              <w:spacing w:after="0"/>
              <w:rPr>
                <w:sz w:val="20"/>
                <w:szCs w:val="20"/>
                <w:color w:val="auto"/>
              </w:rPr>
            </w:pPr>
            <w:r>
              <w:rPr>
                <w:rFonts w:ascii="Arial" w:cs="Arial" w:eastAsia="Arial" w:hAnsi="Arial"/>
                <w:sz w:val="14"/>
                <w:szCs w:val="14"/>
                <w:b w:val="1"/>
                <w:bCs w:val="1"/>
                <w:color w:val="auto"/>
                <w:w w:val="92"/>
              </w:rPr>
              <w:t>Requirements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0"/>
              </w:rPr>
              <w:t>Action Provisions</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15"/>
              <w:spacing w:after="0" w:line="142" w:lineRule="exact"/>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Ratio</w:t>
            </w:r>
          </w:p>
        </w:tc>
        <w:tc>
          <w:tcPr>
            <w:tcW w:w="2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839"/>
              <w:spacing w:after="0" w:line="142"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top w:val="single" w:sz="8" w:color="auto"/>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Ratio</w:t>
            </w:r>
          </w:p>
        </w:tc>
        <w:tc>
          <w:tcPr>
            <w:tcW w:w="24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60"/>
              <w:spacing w:after="0" w:line="142"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bottom w:val="single" w:sz="8" w:color="auto"/>
            </w:tcBorders>
            <w:gridSpan w:val="5"/>
          </w:tcPr>
          <w:p>
            <w:pPr>
              <w:ind w:left="80"/>
              <w:spacing w:after="0" w:line="142" w:lineRule="exact"/>
              <w:rPr>
                <w:sz w:val="20"/>
                <w:szCs w:val="20"/>
                <w:color w:val="auto"/>
              </w:rPr>
            </w:pPr>
            <w:r>
              <w:rPr>
                <w:rFonts w:ascii="Arial" w:cs="Arial" w:eastAsia="Arial" w:hAnsi="Arial"/>
                <w:sz w:val="14"/>
                <w:szCs w:val="14"/>
                <w:b w:val="1"/>
                <w:bCs w:val="1"/>
                <w:color w:val="auto"/>
              </w:rPr>
              <w:t>Ratio</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6"/>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Total capital to risk weighted</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375"/>
              <w:spacing w:after="0" w:line="176" w:lineRule="exact"/>
              <w:rPr>
                <w:sz w:val="20"/>
                <w:szCs w:val="20"/>
                <w:color w:val="auto"/>
              </w:rPr>
            </w:pPr>
            <w:r>
              <w:rPr>
                <w:rFonts w:ascii="Arial" w:cs="Arial" w:eastAsia="Arial" w:hAnsi="Arial"/>
                <w:sz w:val="18"/>
                <w:szCs w:val="18"/>
                <w:color w:val="auto"/>
              </w:rPr>
              <w:t>121,330</w:t>
            </w:r>
          </w:p>
        </w:tc>
        <w:tc>
          <w:tcPr>
            <w:tcW w:w="11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29.35%</w:t>
            </w:r>
          </w:p>
        </w:tc>
        <w:tc>
          <w:tcPr>
            <w:tcW w:w="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519"/>
              <w:spacing w:after="0" w:line="176" w:lineRule="exact"/>
              <w:rPr>
                <w:sz w:val="20"/>
                <w:szCs w:val="20"/>
                <w:color w:val="auto"/>
              </w:rPr>
            </w:pPr>
            <w:r>
              <w:rPr>
                <w:rFonts w:ascii="Arial" w:cs="Arial" w:eastAsia="Arial" w:hAnsi="Arial"/>
                <w:sz w:val="18"/>
                <w:szCs w:val="18"/>
                <w:color w:val="auto"/>
              </w:rPr>
              <w:t>33,074</w:t>
            </w:r>
          </w:p>
        </w:tc>
        <w:tc>
          <w:tcPr>
            <w:tcW w:w="460" w:type="dxa"/>
            <w:vAlign w:val="bottom"/>
            <w:shd w:val="clear" w:color="auto" w:fill="CCEEFF"/>
          </w:tcPr>
          <w:p>
            <w:pPr>
              <w:spacing w:after="0"/>
              <w:rPr>
                <w:sz w:val="15"/>
                <w:szCs w:val="15"/>
                <w:color w:val="auto"/>
              </w:rPr>
            </w:pPr>
          </w:p>
        </w:tc>
        <w:tc>
          <w:tcPr>
            <w:tcW w:w="7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&gt;8.0% $</w:t>
            </w:r>
          </w:p>
        </w:tc>
        <w:tc>
          <w:tcPr>
            <w:tcW w:w="1460" w:type="dxa"/>
            <w:vAlign w:val="bottom"/>
            <w:shd w:val="clear" w:color="auto" w:fill="CCEEFF"/>
          </w:tcPr>
          <w:p>
            <w:pPr>
              <w:jc w:val="right"/>
              <w:ind w:right="460"/>
              <w:spacing w:after="0" w:line="176" w:lineRule="exact"/>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40" w:type="dxa"/>
            <w:vAlign w:val="bottom"/>
          </w:tcPr>
          <w:p>
            <w:pPr>
              <w:ind w:left="18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420" w:type="dxa"/>
            <w:vAlign w:val="bottom"/>
          </w:tcPr>
          <w:p>
            <w:pPr>
              <w:jc w:val="right"/>
              <w:ind w:right="375"/>
              <w:spacing w:after="0" w:line="176" w:lineRule="exact"/>
              <w:rPr>
                <w:sz w:val="20"/>
                <w:szCs w:val="20"/>
                <w:color w:val="auto"/>
              </w:rPr>
            </w:pPr>
            <w:r>
              <w:rPr>
                <w:rFonts w:ascii="Arial" w:cs="Arial" w:eastAsia="Arial" w:hAnsi="Arial"/>
                <w:sz w:val="18"/>
                <w:szCs w:val="18"/>
                <w:color w:val="auto"/>
              </w:rPr>
              <w:t>87,612</w:t>
            </w:r>
          </w:p>
        </w:tc>
        <w:tc>
          <w:tcPr>
            <w:tcW w:w="11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21.15%</w:t>
            </w:r>
          </w:p>
        </w:tc>
        <w:tc>
          <w:tcPr>
            <w:tcW w:w="220" w:type="dxa"/>
            <w:vAlign w:val="bottom"/>
          </w:tcPr>
          <w:p>
            <w:pPr>
              <w:spacing w:after="0"/>
              <w:rPr>
                <w:sz w:val="15"/>
                <w:szCs w:val="15"/>
                <w:color w:val="auto"/>
              </w:rPr>
            </w:pPr>
          </w:p>
        </w:tc>
        <w:tc>
          <w:tcPr>
            <w:tcW w:w="1540" w:type="dxa"/>
            <w:vAlign w:val="bottom"/>
          </w:tcPr>
          <w:p>
            <w:pPr>
              <w:jc w:val="right"/>
              <w:ind w:right="519"/>
              <w:spacing w:after="0" w:line="176" w:lineRule="exact"/>
              <w:rPr>
                <w:sz w:val="20"/>
                <w:szCs w:val="20"/>
                <w:color w:val="auto"/>
              </w:rPr>
            </w:pPr>
            <w:r>
              <w:rPr>
                <w:rFonts w:ascii="Arial" w:cs="Arial" w:eastAsia="Arial" w:hAnsi="Arial"/>
                <w:sz w:val="18"/>
                <w:szCs w:val="18"/>
                <w:color w:val="auto"/>
              </w:rPr>
              <w:t>33,137</w:t>
            </w:r>
          </w:p>
        </w:tc>
        <w:tc>
          <w:tcPr>
            <w:tcW w:w="460" w:type="dxa"/>
            <w:vAlign w:val="bottom"/>
          </w:tcPr>
          <w:p>
            <w:pPr>
              <w:spacing w:after="0"/>
              <w:rPr>
                <w:sz w:val="15"/>
                <w:szCs w:val="15"/>
                <w:color w:val="auto"/>
              </w:rPr>
            </w:pPr>
          </w:p>
        </w:tc>
        <w:tc>
          <w:tcPr>
            <w:tcW w:w="560" w:type="dxa"/>
            <w:vAlign w:val="bottom"/>
            <w:gridSpan w:val="3"/>
          </w:tcPr>
          <w:p>
            <w:pPr>
              <w:spacing w:after="0" w:line="176" w:lineRule="exact"/>
              <w:rPr>
                <w:sz w:val="20"/>
                <w:szCs w:val="20"/>
                <w:color w:val="auto"/>
              </w:rPr>
            </w:pPr>
            <w:r>
              <w:rPr>
                <w:rFonts w:ascii="Arial" w:cs="Arial" w:eastAsia="Arial" w:hAnsi="Arial"/>
                <w:sz w:val="18"/>
                <w:szCs w:val="18"/>
                <w:color w:val="auto"/>
              </w:rPr>
              <w:t>&gt;8.0%</w:t>
            </w:r>
          </w:p>
        </w:tc>
        <w:tc>
          <w:tcPr>
            <w:tcW w:w="200" w:type="dxa"/>
            <w:vAlign w:val="bottom"/>
          </w:tcPr>
          <w:p>
            <w:pPr>
              <w:spacing w:after="0"/>
              <w:rPr>
                <w:sz w:val="15"/>
                <w:szCs w:val="15"/>
                <w:color w:val="auto"/>
              </w:rPr>
            </w:pPr>
          </w:p>
        </w:tc>
        <w:tc>
          <w:tcPr>
            <w:tcW w:w="1460" w:type="dxa"/>
            <w:vAlign w:val="bottom"/>
          </w:tcPr>
          <w:p>
            <w:pPr>
              <w:jc w:val="right"/>
              <w:ind w:right="460"/>
              <w:spacing w:after="0" w:line="176" w:lineRule="exact"/>
              <w:rPr>
                <w:sz w:val="20"/>
                <w:szCs w:val="20"/>
                <w:color w:val="auto"/>
              </w:rPr>
            </w:pPr>
            <w:r>
              <w:rPr>
                <w:rFonts w:ascii="Arial" w:cs="Arial" w:eastAsia="Arial" w:hAnsi="Arial"/>
                <w:sz w:val="18"/>
                <w:szCs w:val="18"/>
                <w:color w:val="auto"/>
              </w:rPr>
              <w:t>41,422</w:t>
            </w:r>
          </w:p>
        </w:tc>
        <w:tc>
          <w:tcPr>
            <w:tcW w:w="1060" w:type="dxa"/>
            <w:vAlign w:val="bottom"/>
            <w:gridSpan w:val="6"/>
          </w:tcPr>
          <w:p>
            <w:pPr>
              <w:jc w:val="right"/>
              <w:ind w:right="8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Tier 1 capital to risk weighted</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75"/>
              <w:spacing w:after="0" w:line="176" w:lineRule="exact"/>
              <w:rPr>
                <w:sz w:val="20"/>
                <w:szCs w:val="20"/>
                <w:color w:val="auto"/>
              </w:rPr>
            </w:pPr>
            <w:r>
              <w:rPr>
                <w:rFonts w:ascii="Arial" w:cs="Arial" w:eastAsia="Arial" w:hAnsi="Arial"/>
                <w:sz w:val="18"/>
                <w:szCs w:val="18"/>
                <w:color w:val="auto"/>
              </w:rPr>
              <w:t>120,455</w:t>
            </w:r>
          </w:p>
        </w:tc>
        <w:tc>
          <w:tcPr>
            <w:tcW w:w="11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29.14%</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519"/>
              <w:spacing w:after="0" w:line="176" w:lineRule="exact"/>
              <w:rPr>
                <w:sz w:val="20"/>
                <w:szCs w:val="20"/>
                <w:color w:val="auto"/>
              </w:rPr>
            </w:pPr>
            <w:r>
              <w:rPr>
                <w:rFonts w:ascii="Arial" w:cs="Arial" w:eastAsia="Arial" w:hAnsi="Arial"/>
                <w:sz w:val="18"/>
                <w:szCs w:val="18"/>
                <w:color w:val="auto"/>
              </w:rPr>
              <w:t>16,537</w:t>
            </w:r>
          </w:p>
        </w:tc>
        <w:tc>
          <w:tcPr>
            <w:tcW w:w="4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60"/>
              <w:spacing w:after="0" w:line="176" w:lineRule="exact"/>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40" w:type="dxa"/>
            <w:vAlign w:val="bottom"/>
          </w:tcPr>
          <w:p>
            <w:pPr>
              <w:ind w:left="18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420" w:type="dxa"/>
            <w:vAlign w:val="bottom"/>
          </w:tcPr>
          <w:p>
            <w:pPr>
              <w:jc w:val="right"/>
              <w:ind w:right="375"/>
              <w:spacing w:after="0" w:line="176" w:lineRule="exact"/>
              <w:rPr>
                <w:sz w:val="20"/>
                <w:szCs w:val="20"/>
                <w:color w:val="auto"/>
              </w:rPr>
            </w:pPr>
            <w:r>
              <w:rPr>
                <w:rFonts w:ascii="Arial" w:cs="Arial" w:eastAsia="Arial" w:hAnsi="Arial"/>
                <w:sz w:val="18"/>
                <w:szCs w:val="18"/>
                <w:color w:val="auto"/>
              </w:rPr>
              <w:t>83,182</w:t>
            </w:r>
          </w:p>
        </w:tc>
        <w:tc>
          <w:tcPr>
            <w:tcW w:w="11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20.08%</w:t>
            </w:r>
          </w:p>
        </w:tc>
        <w:tc>
          <w:tcPr>
            <w:tcW w:w="220" w:type="dxa"/>
            <w:vAlign w:val="bottom"/>
          </w:tcPr>
          <w:p>
            <w:pPr>
              <w:spacing w:after="0"/>
              <w:rPr>
                <w:sz w:val="15"/>
                <w:szCs w:val="15"/>
                <w:color w:val="auto"/>
              </w:rPr>
            </w:pPr>
          </w:p>
        </w:tc>
        <w:tc>
          <w:tcPr>
            <w:tcW w:w="1540" w:type="dxa"/>
            <w:vAlign w:val="bottom"/>
          </w:tcPr>
          <w:p>
            <w:pPr>
              <w:jc w:val="right"/>
              <w:ind w:right="519"/>
              <w:spacing w:after="0" w:line="176" w:lineRule="exact"/>
              <w:rPr>
                <w:sz w:val="20"/>
                <w:szCs w:val="20"/>
                <w:color w:val="auto"/>
              </w:rPr>
            </w:pPr>
            <w:r>
              <w:rPr>
                <w:rFonts w:ascii="Arial" w:cs="Arial" w:eastAsia="Arial" w:hAnsi="Arial"/>
                <w:sz w:val="18"/>
                <w:szCs w:val="18"/>
                <w:color w:val="auto"/>
              </w:rPr>
              <w:t>16,569</w:t>
            </w:r>
          </w:p>
        </w:tc>
        <w:tc>
          <w:tcPr>
            <w:tcW w:w="460" w:type="dxa"/>
            <w:vAlign w:val="bottom"/>
          </w:tcPr>
          <w:p>
            <w:pPr>
              <w:spacing w:after="0"/>
              <w:rPr>
                <w:sz w:val="15"/>
                <w:szCs w:val="15"/>
                <w:color w:val="auto"/>
              </w:rPr>
            </w:pPr>
          </w:p>
        </w:tc>
        <w:tc>
          <w:tcPr>
            <w:tcW w:w="56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200" w:type="dxa"/>
            <w:vAlign w:val="bottom"/>
          </w:tcPr>
          <w:p>
            <w:pPr>
              <w:spacing w:after="0"/>
              <w:rPr>
                <w:sz w:val="15"/>
                <w:szCs w:val="15"/>
                <w:color w:val="auto"/>
              </w:rPr>
            </w:pPr>
          </w:p>
        </w:tc>
        <w:tc>
          <w:tcPr>
            <w:tcW w:w="1460" w:type="dxa"/>
            <w:vAlign w:val="bottom"/>
          </w:tcPr>
          <w:p>
            <w:pPr>
              <w:jc w:val="right"/>
              <w:ind w:right="460"/>
              <w:spacing w:after="0" w:line="176" w:lineRule="exact"/>
              <w:rPr>
                <w:sz w:val="20"/>
                <w:szCs w:val="20"/>
                <w:color w:val="auto"/>
              </w:rPr>
            </w:pPr>
            <w:r>
              <w:rPr>
                <w:rFonts w:ascii="Arial" w:cs="Arial" w:eastAsia="Arial" w:hAnsi="Arial"/>
                <w:sz w:val="18"/>
                <w:szCs w:val="18"/>
                <w:color w:val="auto"/>
              </w:rPr>
              <w:t>24,853</w:t>
            </w:r>
          </w:p>
        </w:tc>
        <w:tc>
          <w:tcPr>
            <w:tcW w:w="1060" w:type="dxa"/>
            <w:vAlign w:val="bottom"/>
            <w:gridSpan w:val="6"/>
          </w:tcPr>
          <w:p>
            <w:pPr>
              <w:jc w:val="right"/>
              <w:ind w:right="8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75"/>
              <w:spacing w:after="0" w:line="176" w:lineRule="exact"/>
              <w:rPr>
                <w:sz w:val="20"/>
                <w:szCs w:val="20"/>
                <w:color w:val="auto"/>
              </w:rPr>
            </w:pPr>
            <w:r>
              <w:rPr>
                <w:rFonts w:ascii="Arial" w:cs="Arial" w:eastAsia="Arial" w:hAnsi="Arial"/>
                <w:sz w:val="18"/>
                <w:szCs w:val="18"/>
                <w:color w:val="auto"/>
              </w:rPr>
              <w:t>120,455</w:t>
            </w:r>
          </w:p>
        </w:tc>
        <w:tc>
          <w:tcPr>
            <w:tcW w:w="11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17.44%</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519"/>
              <w:spacing w:after="0" w:line="176" w:lineRule="exact"/>
              <w:rPr>
                <w:sz w:val="20"/>
                <w:szCs w:val="20"/>
                <w:color w:val="auto"/>
              </w:rPr>
            </w:pPr>
            <w:r>
              <w:rPr>
                <w:rFonts w:ascii="Arial" w:cs="Arial" w:eastAsia="Arial" w:hAnsi="Arial"/>
                <w:sz w:val="18"/>
                <w:szCs w:val="18"/>
                <w:color w:val="auto"/>
              </w:rPr>
              <w:t>27,633</w:t>
            </w:r>
          </w:p>
        </w:tc>
        <w:tc>
          <w:tcPr>
            <w:tcW w:w="1020" w:type="dxa"/>
            <w:vAlign w:val="bottom"/>
            <w:gridSpan w:val="4"/>
            <w:shd w:val="clear" w:color="auto" w:fill="CCEEFF"/>
          </w:tcPr>
          <w:p>
            <w:pPr>
              <w:ind w:left="460"/>
              <w:spacing w:after="0" w:line="176" w:lineRule="exact"/>
              <w:rPr>
                <w:sz w:val="20"/>
                <w:szCs w:val="20"/>
                <w:color w:val="auto"/>
              </w:rPr>
            </w:pPr>
            <w:r>
              <w:rPr>
                <w:rFonts w:ascii="Arial" w:cs="Arial" w:eastAsia="Arial" w:hAnsi="Arial"/>
                <w:sz w:val="18"/>
                <w:szCs w:val="18"/>
                <w:color w:val="auto"/>
              </w:rPr>
              <w:t>&gt;4.0%</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60"/>
              <w:spacing w:after="0" w:line="176" w:lineRule="exact"/>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28" w:name="page29"/>
    <w:bookmarkEnd w:id="28"/>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500" w:type="dxa"/>
            <w:vAlign w:val="bottom"/>
          </w:tcPr>
          <w:p>
            <w:pPr>
              <w:ind w:left="180"/>
              <w:spacing w:after="0"/>
              <w:rPr>
                <w:sz w:val="20"/>
                <w:szCs w:val="20"/>
                <w:color w:val="auto"/>
              </w:rPr>
            </w:pPr>
            <w:r>
              <w:rPr>
                <w:rFonts w:ascii="Arial" w:cs="Arial" w:eastAsia="Arial" w:hAnsi="Arial"/>
                <w:sz w:val="18"/>
                <w:szCs w:val="18"/>
                <w:color w:val="auto"/>
              </w:rPr>
              <w:t>Bank</w:t>
            </w:r>
          </w:p>
        </w:tc>
        <w:tc>
          <w:tcPr>
            <w:tcW w:w="560" w:type="dxa"/>
            <w:vAlign w:val="bottom"/>
          </w:tcPr>
          <w:p>
            <w:pPr>
              <w:spacing w:after="0"/>
              <w:rPr>
                <w:sz w:val="17"/>
                <w:szCs w:val="17"/>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83,182</w:t>
            </w:r>
          </w:p>
        </w:tc>
        <w:tc>
          <w:tcPr>
            <w:tcW w:w="1100" w:type="dxa"/>
            <w:vAlign w:val="bottom"/>
          </w:tcPr>
          <w:p>
            <w:pPr>
              <w:jc w:val="right"/>
              <w:spacing w:after="0"/>
              <w:rPr>
                <w:sz w:val="20"/>
                <w:szCs w:val="20"/>
                <w:color w:val="auto"/>
              </w:rPr>
            </w:pPr>
            <w:r>
              <w:rPr>
                <w:rFonts w:ascii="Arial" w:cs="Arial" w:eastAsia="Arial" w:hAnsi="Arial"/>
                <w:sz w:val="18"/>
                <w:szCs w:val="18"/>
                <w:color w:val="auto"/>
              </w:rPr>
              <w:t>12.11%</w:t>
            </w:r>
          </w:p>
        </w:tc>
        <w:tc>
          <w:tcPr>
            <w:tcW w:w="420" w:type="dxa"/>
            <w:vAlign w:val="bottom"/>
          </w:tcPr>
          <w:p>
            <w:pPr>
              <w:spacing w:after="0"/>
              <w:rPr>
                <w:sz w:val="17"/>
                <w:szCs w:val="17"/>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27,479</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&gt;4.0%</w:t>
            </w:r>
          </w:p>
        </w:tc>
        <w:tc>
          <w:tcPr>
            <w:tcW w:w="1700" w:type="dxa"/>
            <w:vAlign w:val="bottom"/>
          </w:tcPr>
          <w:p>
            <w:pPr>
              <w:jc w:val="right"/>
              <w:ind w:right="850"/>
              <w:spacing w:after="0"/>
              <w:rPr>
                <w:sz w:val="20"/>
                <w:szCs w:val="20"/>
                <w:color w:val="auto"/>
              </w:rPr>
            </w:pPr>
            <w:r>
              <w:rPr>
                <w:rFonts w:ascii="Arial" w:cs="Arial" w:eastAsia="Arial" w:hAnsi="Arial"/>
                <w:sz w:val="18"/>
                <w:szCs w:val="18"/>
                <w:color w:val="auto"/>
              </w:rPr>
              <w:t>34,439</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&gt;5.0%</w:t>
            </w:r>
          </w:p>
        </w:tc>
      </w:tr>
      <w:tr>
        <w:trPr>
          <w:trHeight w:val="21"/>
        </w:trPr>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June 30, 2012:</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capital to risk weighted</w:t>
            </w: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176"/>
        </w:trPr>
        <w:tc>
          <w:tcPr>
            <w:tcW w:w="2500" w:type="dxa"/>
            <w:vAlign w:val="bottom"/>
          </w:tcPr>
          <w:p>
            <w:pPr>
              <w:ind w:left="180"/>
              <w:spacing w:after="0" w:line="176" w:lineRule="exact"/>
              <w:rPr>
                <w:sz w:val="20"/>
                <w:szCs w:val="20"/>
                <w:color w:val="auto"/>
              </w:rPr>
            </w:pPr>
            <w:r>
              <w:rPr>
                <w:rFonts w:ascii="Arial" w:cs="Arial" w:eastAsia="Arial" w:hAnsi="Arial"/>
                <w:sz w:val="18"/>
                <w:szCs w:val="18"/>
                <w:color w:val="auto"/>
              </w:rPr>
              <w:t>Company</w:t>
            </w:r>
          </w:p>
        </w:tc>
        <w:tc>
          <w:tcPr>
            <w:tcW w:w="5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124,452</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33.34%</w:t>
            </w:r>
          </w:p>
        </w:tc>
        <w:tc>
          <w:tcPr>
            <w:tcW w:w="4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430"/>
              <w:spacing w:after="0" w:line="176" w:lineRule="exact"/>
              <w:rPr>
                <w:sz w:val="20"/>
                <w:szCs w:val="20"/>
                <w:color w:val="auto"/>
              </w:rPr>
            </w:pPr>
            <w:r>
              <w:rPr>
                <w:rFonts w:ascii="Arial" w:cs="Arial" w:eastAsia="Arial" w:hAnsi="Arial"/>
                <w:sz w:val="18"/>
                <w:szCs w:val="18"/>
                <w:color w:val="auto"/>
              </w:rPr>
              <w:t>29,863</w:t>
            </w:r>
          </w:p>
        </w:tc>
        <w:tc>
          <w:tcPr>
            <w:tcW w:w="1460" w:type="dxa"/>
            <w:vAlign w:val="bottom"/>
            <w:gridSpan w:val="3"/>
          </w:tcPr>
          <w:p>
            <w:pPr>
              <w:ind w:left="540"/>
              <w:spacing w:after="0" w:line="176" w:lineRule="exact"/>
              <w:rPr>
                <w:sz w:val="20"/>
                <w:szCs w:val="20"/>
                <w:color w:val="auto"/>
              </w:rPr>
            </w:pPr>
            <w:r>
              <w:rPr>
                <w:rFonts w:ascii="Arial" w:cs="Arial" w:eastAsia="Arial" w:hAnsi="Arial"/>
                <w:sz w:val="18"/>
                <w:szCs w:val="18"/>
                <w:color w:val="auto"/>
              </w:rPr>
              <w:t>&gt;8.0% $</w:t>
            </w:r>
          </w:p>
        </w:tc>
        <w:tc>
          <w:tcPr>
            <w:tcW w:w="1700" w:type="dxa"/>
            <w:vAlign w:val="bottom"/>
          </w:tcPr>
          <w:p>
            <w:pPr>
              <w:jc w:val="right"/>
              <w:ind w:right="850"/>
              <w:spacing w:after="0" w:line="176"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w w:val="93"/>
              </w:rPr>
              <w:t>N/A</w:t>
            </w:r>
          </w:p>
        </w:tc>
      </w:tr>
      <w:tr>
        <w:trPr>
          <w:trHeight w:val="21"/>
        </w:trPr>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5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Bank</w:t>
            </w: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75,081</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30"/>
              <w:spacing w:after="0" w:line="176" w:lineRule="exact"/>
              <w:rPr>
                <w:sz w:val="20"/>
                <w:szCs w:val="20"/>
                <w:color w:val="auto"/>
              </w:rPr>
            </w:pPr>
            <w:r>
              <w:rPr>
                <w:rFonts w:ascii="Arial" w:cs="Arial" w:eastAsia="Arial" w:hAnsi="Arial"/>
                <w:sz w:val="18"/>
                <w:szCs w:val="18"/>
                <w:color w:val="auto"/>
              </w:rPr>
              <w:t>29,824</w:t>
            </w:r>
          </w:p>
        </w:tc>
        <w:tc>
          <w:tcPr>
            <w:tcW w:w="1460" w:type="dxa"/>
            <w:vAlign w:val="bottom"/>
            <w:gridSpan w:val="3"/>
            <w:shd w:val="clear" w:color="auto" w:fill="CCEEFF"/>
          </w:tcPr>
          <w:p>
            <w:pPr>
              <w:ind w:left="540"/>
              <w:spacing w:after="0" w:line="176" w:lineRule="exact"/>
              <w:rPr>
                <w:sz w:val="20"/>
                <w:szCs w:val="20"/>
                <w:color w:val="auto"/>
              </w:rPr>
            </w:pPr>
            <w:r>
              <w:rPr>
                <w:rFonts w:ascii="Arial" w:cs="Arial" w:eastAsia="Arial" w:hAnsi="Arial"/>
                <w:sz w:val="18"/>
                <w:szCs w:val="18"/>
                <w:color w:val="auto"/>
              </w:rPr>
              <w:t>&gt;8.0%</w:t>
            </w:r>
          </w:p>
        </w:tc>
        <w:tc>
          <w:tcPr>
            <w:tcW w:w="1700" w:type="dxa"/>
            <w:vAlign w:val="bottom"/>
            <w:shd w:val="clear" w:color="auto" w:fill="CCEEFF"/>
          </w:tcPr>
          <w:p>
            <w:pPr>
              <w:jc w:val="right"/>
              <w:ind w:right="850"/>
              <w:spacing w:after="0" w:line="176" w:lineRule="exact"/>
              <w:rPr>
                <w:sz w:val="20"/>
                <w:szCs w:val="20"/>
                <w:color w:val="auto"/>
              </w:rPr>
            </w:pPr>
            <w:r>
              <w:rPr>
                <w:rFonts w:ascii="Arial" w:cs="Arial" w:eastAsia="Arial" w:hAnsi="Arial"/>
                <w:sz w:val="18"/>
                <w:szCs w:val="18"/>
                <w:color w:val="auto"/>
              </w:rPr>
              <w:t>37,280</w:t>
            </w:r>
          </w:p>
        </w:tc>
        <w:tc>
          <w:tcPr>
            <w:tcW w:w="660" w:type="dxa"/>
            <w:vAlign w:val="bottom"/>
            <w:gridSpan w:val="4"/>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w w:val="90"/>
              </w:rPr>
              <w:t>&gt;10.0%</w:t>
            </w:r>
          </w:p>
        </w:tc>
      </w:tr>
      <w:tr>
        <w:trPr>
          <w:trHeight w:val="216"/>
        </w:trPr>
        <w:tc>
          <w:tcPr>
            <w:tcW w:w="2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capital to risk weighted</w:t>
            </w: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176"/>
        </w:trPr>
        <w:tc>
          <w:tcPr>
            <w:tcW w:w="2500" w:type="dxa"/>
            <w:vAlign w:val="bottom"/>
          </w:tcPr>
          <w:p>
            <w:pPr>
              <w:ind w:left="180"/>
              <w:spacing w:after="0" w:line="176" w:lineRule="exact"/>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15"/>
                <w:szCs w:val="15"/>
                <w:color w:val="auto"/>
              </w:rPr>
            </w:pPr>
          </w:p>
        </w:tc>
        <w:tc>
          <w:tcPr>
            <w:tcW w:w="132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123,628</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33.12%</w:t>
            </w:r>
          </w:p>
        </w:tc>
        <w:tc>
          <w:tcPr>
            <w:tcW w:w="420" w:type="dxa"/>
            <w:vAlign w:val="bottom"/>
          </w:tcPr>
          <w:p>
            <w:pPr>
              <w:spacing w:after="0"/>
              <w:rPr>
                <w:sz w:val="15"/>
                <w:szCs w:val="15"/>
                <w:color w:val="auto"/>
              </w:rPr>
            </w:pPr>
          </w:p>
        </w:tc>
        <w:tc>
          <w:tcPr>
            <w:tcW w:w="1300" w:type="dxa"/>
            <w:vAlign w:val="bottom"/>
          </w:tcPr>
          <w:p>
            <w:pPr>
              <w:jc w:val="right"/>
              <w:ind w:right="430"/>
              <w:spacing w:after="0" w:line="176" w:lineRule="exact"/>
              <w:rPr>
                <w:sz w:val="20"/>
                <w:szCs w:val="20"/>
                <w:color w:val="auto"/>
              </w:rPr>
            </w:pPr>
            <w:r>
              <w:rPr>
                <w:rFonts w:ascii="Arial" w:cs="Arial" w:eastAsia="Arial" w:hAnsi="Arial"/>
                <w:sz w:val="18"/>
                <w:szCs w:val="18"/>
                <w:color w:val="auto"/>
              </w:rPr>
              <w:t>14,931</w:t>
            </w:r>
          </w:p>
        </w:tc>
        <w:tc>
          <w:tcPr>
            <w:tcW w:w="1460" w:type="dxa"/>
            <w:vAlign w:val="bottom"/>
            <w:gridSpan w:val="3"/>
          </w:tcPr>
          <w:p>
            <w:pPr>
              <w:ind w:left="540"/>
              <w:spacing w:after="0" w:line="176" w:lineRule="exact"/>
              <w:rPr>
                <w:sz w:val="20"/>
                <w:szCs w:val="20"/>
                <w:color w:val="auto"/>
              </w:rPr>
            </w:pPr>
            <w:r>
              <w:rPr>
                <w:rFonts w:ascii="Arial" w:cs="Arial" w:eastAsia="Arial" w:hAnsi="Arial"/>
                <w:sz w:val="18"/>
                <w:szCs w:val="18"/>
                <w:color w:val="auto"/>
              </w:rPr>
              <w:t>&gt;4.0%</w:t>
            </w:r>
          </w:p>
        </w:tc>
        <w:tc>
          <w:tcPr>
            <w:tcW w:w="1700" w:type="dxa"/>
            <w:vAlign w:val="bottom"/>
          </w:tcPr>
          <w:p>
            <w:pPr>
              <w:jc w:val="right"/>
              <w:ind w:right="850"/>
              <w:spacing w:after="0" w:line="176"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w w:val="93"/>
              </w:rPr>
              <w:t>N/A</w:t>
            </w:r>
          </w:p>
        </w:tc>
      </w:tr>
      <w:tr>
        <w:trPr>
          <w:trHeight w:val="21"/>
        </w:trPr>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5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Bank</w:t>
            </w: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70,414</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18.89%</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30"/>
              <w:spacing w:after="0" w:line="176" w:lineRule="exact"/>
              <w:rPr>
                <w:sz w:val="20"/>
                <w:szCs w:val="20"/>
                <w:color w:val="auto"/>
              </w:rPr>
            </w:pPr>
            <w:r>
              <w:rPr>
                <w:rFonts w:ascii="Arial" w:cs="Arial" w:eastAsia="Arial" w:hAnsi="Arial"/>
                <w:sz w:val="18"/>
                <w:szCs w:val="18"/>
                <w:color w:val="auto"/>
              </w:rPr>
              <w:t>14,910</w:t>
            </w:r>
          </w:p>
        </w:tc>
        <w:tc>
          <w:tcPr>
            <w:tcW w:w="1460" w:type="dxa"/>
            <w:vAlign w:val="bottom"/>
            <w:gridSpan w:val="3"/>
            <w:shd w:val="clear" w:color="auto" w:fill="CCEEFF"/>
          </w:tcPr>
          <w:p>
            <w:pPr>
              <w:ind w:left="540"/>
              <w:spacing w:after="0" w:line="176" w:lineRule="exact"/>
              <w:rPr>
                <w:sz w:val="20"/>
                <w:szCs w:val="20"/>
                <w:color w:val="auto"/>
              </w:rPr>
            </w:pPr>
            <w:r>
              <w:rPr>
                <w:rFonts w:ascii="Arial" w:cs="Arial" w:eastAsia="Arial" w:hAnsi="Arial"/>
                <w:sz w:val="18"/>
                <w:szCs w:val="18"/>
                <w:color w:val="auto"/>
              </w:rPr>
              <w:t>&gt;4.0%</w:t>
            </w:r>
          </w:p>
        </w:tc>
        <w:tc>
          <w:tcPr>
            <w:tcW w:w="1700" w:type="dxa"/>
            <w:vAlign w:val="bottom"/>
            <w:shd w:val="clear" w:color="auto" w:fill="CCEEFF"/>
          </w:tcPr>
          <w:p>
            <w:pPr>
              <w:jc w:val="right"/>
              <w:ind w:right="850"/>
              <w:spacing w:after="0" w:line="176" w:lineRule="exact"/>
              <w:rPr>
                <w:sz w:val="20"/>
                <w:szCs w:val="20"/>
                <w:color w:val="auto"/>
              </w:rPr>
            </w:pPr>
            <w:r>
              <w:rPr>
                <w:rFonts w:ascii="Arial" w:cs="Arial" w:eastAsia="Arial" w:hAnsi="Arial"/>
                <w:sz w:val="18"/>
                <w:szCs w:val="18"/>
                <w:color w:val="auto"/>
              </w:rPr>
              <w:t>22,365</w:t>
            </w:r>
          </w:p>
        </w:tc>
        <w:tc>
          <w:tcPr>
            <w:tcW w:w="660" w:type="dxa"/>
            <w:vAlign w:val="bottom"/>
            <w:gridSpan w:val="4"/>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&gt;6.0%</w:t>
            </w:r>
          </w:p>
        </w:tc>
      </w:tr>
      <w:tr>
        <w:trPr>
          <w:trHeight w:val="216"/>
        </w:trPr>
        <w:tc>
          <w:tcPr>
            <w:tcW w:w="2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7"/>
              </w:rPr>
              <w:t>Tier 1 capital to average assets:</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176"/>
        </w:trPr>
        <w:tc>
          <w:tcPr>
            <w:tcW w:w="2500" w:type="dxa"/>
            <w:vAlign w:val="bottom"/>
          </w:tcPr>
          <w:p>
            <w:pPr>
              <w:ind w:left="180"/>
              <w:spacing w:after="0" w:line="176" w:lineRule="exact"/>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15"/>
                <w:szCs w:val="15"/>
                <w:color w:val="auto"/>
              </w:rPr>
            </w:pPr>
          </w:p>
        </w:tc>
        <w:tc>
          <w:tcPr>
            <w:tcW w:w="132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123,628</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19.91%</w:t>
            </w:r>
          </w:p>
        </w:tc>
        <w:tc>
          <w:tcPr>
            <w:tcW w:w="420" w:type="dxa"/>
            <w:vAlign w:val="bottom"/>
          </w:tcPr>
          <w:p>
            <w:pPr>
              <w:spacing w:after="0"/>
              <w:rPr>
                <w:sz w:val="15"/>
                <w:szCs w:val="15"/>
                <w:color w:val="auto"/>
              </w:rPr>
            </w:pPr>
          </w:p>
        </w:tc>
        <w:tc>
          <w:tcPr>
            <w:tcW w:w="1300" w:type="dxa"/>
            <w:vAlign w:val="bottom"/>
          </w:tcPr>
          <w:p>
            <w:pPr>
              <w:jc w:val="right"/>
              <w:ind w:right="430"/>
              <w:spacing w:after="0" w:line="176" w:lineRule="exact"/>
              <w:rPr>
                <w:sz w:val="20"/>
                <w:szCs w:val="20"/>
                <w:color w:val="auto"/>
              </w:rPr>
            </w:pPr>
            <w:r>
              <w:rPr>
                <w:rFonts w:ascii="Arial" w:cs="Arial" w:eastAsia="Arial" w:hAnsi="Arial"/>
                <w:sz w:val="18"/>
                <w:szCs w:val="18"/>
                <w:color w:val="auto"/>
              </w:rPr>
              <w:t>24,837</w:t>
            </w:r>
          </w:p>
        </w:tc>
        <w:tc>
          <w:tcPr>
            <w:tcW w:w="1460" w:type="dxa"/>
            <w:vAlign w:val="bottom"/>
            <w:gridSpan w:val="3"/>
          </w:tcPr>
          <w:p>
            <w:pPr>
              <w:ind w:left="540"/>
              <w:spacing w:after="0" w:line="176" w:lineRule="exact"/>
              <w:rPr>
                <w:sz w:val="20"/>
                <w:szCs w:val="20"/>
                <w:color w:val="auto"/>
              </w:rPr>
            </w:pPr>
            <w:r>
              <w:rPr>
                <w:rFonts w:ascii="Arial" w:cs="Arial" w:eastAsia="Arial" w:hAnsi="Arial"/>
                <w:sz w:val="18"/>
                <w:szCs w:val="18"/>
                <w:color w:val="auto"/>
              </w:rPr>
              <w:t>&gt;4.0%</w:t>
            </w:r>
          </w:p>
        </w:tc>
        <w:tc>
          <w:tcPr>
            <w:tcW w:w="1700" w:type="dxa"/>
            <w:vAlign w:val="bottom"/>
          </w:tcPr>
          <w:p>
            <w:pPr>
              <w:jc w:val="right"/>
              <w:ind w:right="850"/>
              <w:spacing w:after="0" w:line="176"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w w:val="93"/>
              </w:rPr>
              <w:t>N/A</w:t>
            </w:r>
          </w:p>
        </w:tc>
      </w:tr>
      <w:tr>
        <w:trPr>
          <w:trHeight w:val="21"/>
        </w:trPr>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6"/>
        </w:trPr>
        <w:tc>
          <w:tcPr>
            <w:tcW w:w="25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Bank</w:t>
            </w: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70,414</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11.43%</w:t>
            </w: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30"/>
              <w:spacing w:after="0" w:line="176" w:lineRule="exact"/>
              <w:rPr>
                <w:sz w:val="20"/>
                <w:szCs w:val="20"/>
                <w:color w:val="auto"/>
              </w:rPr>
            </w:pPr>
            <w:r>
              <w:rPr>
                <w:rFonts w:ascii="Arial" w:cs="Arial" w:eastAsia="Arial" w:hAnsi="Arial"/>
                <w:sz w:val="18"/>
                <w:szCs w:val="18"/>
                <w:color w:val="auto"/>
              </w:rPr>
              <w:t>24,642</w:t>
            </w:r>
          </w:p>
        </w:tc>
        <w:tc>
          <w:tcPr>
            <w:tcW w:w="1460" w:type="dxa"/>
            <w:vAlign w:val="bottom"/>
            <w:gridSpan w:val="3"/>
            <w:shd w:val="clear" w:color="auto" w:fill="CCEEFF"/>
          </w:tcPr>
          <w:p>
            <w:pPr>
              <w:ind w:left="540"/>
              <w:spacing w:after="0" w:line="176" w:lineRule="exact"/>
              <w:rPr>
                <w:sz w:val="20"/>
                <w:szCs w:val="20"/>
                <w:color w:val="auto"/>
              </w:rPr>
            </w:pPr>
            <w:r>
              <w:rPr>
                <w:rFonts w:ascii="Arial" w:cs="Arial" w:eastAsia="Arial" w:hAnsi="Arial"/>
                <w:sz w:val="18"/>
                <w:szCs w:val="18"/>
                <w:color w:val="auto"/>
              </w:rPr>
              <w:t>&gt;4.0%</w:t>
            </w:r>
          </w:p>
        </w:tc>
        <w:tc>
          <w:tcPr>
            <w:tcW w:w="1700" w:type="dxa"/>
            <w:vAlign w:val="bottom"/>
            <w:shd w:val="clear" w:color="auto" w:fill="CCEEFF"/>
          </w:tcPr>
          <w:p>
            <w:pPr>
              <w:jc w:val="right"/>
              <w:ind w:right="850"/>
              <w:spacing w:after="0" w:line="176" w:lineRule="exact"/>
              <w:rPr>
                <w:sz w:val="20"/>
                <w:szCs w:val="20"/>
                <w:color w:val="auto"/>
              </w:rPr>
            </w:pPr>
            <w:r>
              <w:rPr>
                <w:rFonts w:ascii="Arial" w:cs="Arial" w:eastAsia="Arial" w:hAnsi="Arial"/>
                <w:sz w:val="18"/>
                <w:szCs w:val="18"/>
                <w:color w:val="auto"/>
              </w:rPr>
              <w:t>30,802</w:t>
            </w:r>
          </w:p>
        </w:tc>
        <w:tc>
          <w:tcPr>
            <w:tcW w:w="660" w:type="dxa"/>
            <w:vAlign w:val="bottom"/>
            <w:gridSpan w:val="4"/>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&gt;5.0%</w:t>
            </w:r>
          </w:p>
        </w:tc>
      </w:tr>
      <w:tr>
        <w:trPr>
          <w:trHeight w:val="21"/>
        </w:trPr>
        <w:tc>
          <w:tcPr>
            <w:tcW w:w="2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12: Commitments and Contingencies”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Net income was $1.5 million for the quarter ended December 31, 2012, compared to $418 thousand for the quarter ended December 31, 2011. Net income for the six months ended December 31, 2012 was $2.6 million, compared to a net loss of $176 thousand for the six months ended December 31, 2011.</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both the quarter and six months ended December 31, 2012, higher average balances in the Company’s purchased loan portfolio and transactional income from unscheduled loan payoffs and asset sales contributed significantly to increased net interest income and overall earnings, compared to the same periods in Fiscal 2012. Increases in both net interest income and noninterest income in the current year periods were partially offset by higher levels of noninterest expense, principally due to increased employee headcount, incentive compensation, and other operating expenses associated with implementation of the Company’s business strategy over the past twelve months.</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details the “total return” on purchased loans, which includes transactional income of $1.9 million for the quarter and $3.7 million for the six months ended December 31, 2012. This compares to transactional income of $482 thousand for both the quarter and six months ended December 31, 2011.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right="68"/>
              <w:spacing w:after="0"/>
              <w:rPr>
                <w:sz w:val="20"/>
                <w:szCs w:val="20"/>
                <w:color w:val="auto"/>
              </w:rPr>
            </w:pPr>
            <w:r>
              <w:rPr>
                <w:rFonts w:ascii="Arial" w:cs="Arial" w:eastAsia="Arial" w:hAnsi="Arial"/>
                <w:sz w:val="14"/>
                <w:szCs w:val="14"/>
                <w:b w:val="1"/>
                <w:bCs w:val="1"/>
                <w:color w:val="auto"/>
                <w:w w:val="91"/>
              </w:rPr>
              <w:t>Total Return on Purchased Loans</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7"/>
          </w:tcPr>
          <w:p>
            <w:pPr>
              <w:jc w:val="right"/>
              <w:ind w:right="168"/>
              <w:spacing w:after="0" w:line="142" w:lineRule="exact"/>
              <w:rPr>
                <w:sz w:val="20"/>
                <w:szCs w:val="20"/>
                <w:color w:val="auto"/>
              </w:rPr>
            </w:pPr>
            <w:r>
              <w:rPr>
                <w:rFonts w:ascii="Arial" w:cs="Arial" w:eastAsia="Arial" w:hAnsi="Arial"/>
                <w:sz w:val="14"/>
                <w:szCs w:val="14"/>
                <w:b w:val="1"/>
                <w:bCs w:val="1"/>
                <w:color w:val="auto"/>
              </w:rPr>
              <w:t>Three Months Ended December 31,</w:t>
            </w:r>
          </w:p>
        </w:tc>
        <w:tc>
          <w:tcPr>
            <w:tcW w:w="8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right"/>
              <w:ind w:right="320"/>
              <w:spacing w:after="0" w:line="142" w:lineRule="exact"/>
              <w:rPr>
                <w:sz w:val="20"/>
                <w:szCs w:val="20"/>
                <w:color w:val="auto"/>
              </w:rPr>
            </w:pPr>
            <w:r>
              <w:rPr>
                <w:rFonts w:ascii="Arial" w:cs="Arial" w:eastAsia="Arial" w:hAnsi="Arial"/>
                <w:sz w:val="14"/>
                <w:szCs w:val="14"/>
                <w:b w:val="1"/>
                <w:bCs w:val="1"/>
                <w:color w:val="auto"/>
              </w:rPr>
              <w:t>Six Months Ended December 31,</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rPr>
              <w:t>Income</w:t>
            </w:r>
          </w:p>
        </w:tc>
        <w:tc>
          <w:tcPr>
            <w:tcW w:w="8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Return (1)</w:t>
            </w: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rPr>
              <w:t>Income</w:t>
            </w:r>
          </w:p>
        </w:tc>
        <w:tc>
          <w:tcPr>
            <w:tcW w:w="8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Return (1)</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rPr>
              <w:t>Income</w:t>
            </w:r>
          </w:p>
        </w:tc>
        <w:tc>
          <w:tcPr>
            <w:tcW w:w="8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Return (1)</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Income</w:t>
            </w:r>
          </w:p>
        </w:tc>
        <w:tc>
          <w:tcPr>
            <w:tcW w:w="8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Return (1)</w:t>
            </w:r>
          </w:p>
        </w:tc>
        <w:tc>
          <w:tcPr>
            <w:tcW w:w="22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00" w:type="dxa"/>
            <w:vAlign w:val="bottom"/>
            <w:gridSpan w:val="5"/>
          </w:tcPr>
          <w:p>
            <w:pPr>
              <w:jc w:val="center"/>
              <w:ind w:right="34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Regularly scheduled interest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accretion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2,859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9.57%</w:t>
            </w: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772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4,770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Transactional income: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817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817</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02"/>
        </w:trPr>
        <w:tc>
          <w:tcPr>
            <w:tcW w:w="2300" w:type="dxa"/>
            <w:vAlign w:val="bottom"/>
          </w:tcPr>
          <w:p>
            <w:pPr>
              <w:ind w:left="180"/>
              <w:spacing w:after="0" w:line="201" w:lineRule="exact"/>
              <w:rPr>
                <w:sz w:val="20"/>
                <w:szCs w:val="20"/>
                <w:color w:val="auto"/>
              </w:rPr>
            </w:pPr>
            <w:r>
              <w:rPr>
                <w:rFonts w:ascii="Arial" w:cs="Arial" w:eastAsia="Arial" w:hAnsi="Arial"/>
                <w:sz w:val="18"/>
                <w:szCs w:val="18"/>
                <w:color w:val="auto"/>
                <w:w w:val="99"/>
              </w:rPr>
              <w:t>Gain on sale of real estate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300" w:type="dxa"/>
            <w:vAlign w:val="bottom"/>
          </w:tcPr>
          <w:p>
            <w:pPr>
              <w:ind w:left="360"/>
              <w:spacing w:after="0"/>
              <w:rPr>
                <w:sz w:val="20"/>
                <w:szCs w:val="20"/>
                <w:color w:val="auto"/>
              </w:rPr>
            </w:pPr>
            <w:r>
              <w:rPr>
                <w:rFonts w:ascii="Arial" w:cs="Arial" w:eastAsia="Arial" w:hAnsi="Arial"/>
                <w:sz w:val="18"/>
                <w:szCs w:val="18"/>
                <w:color w:val="auto"/>
              </w:rPr>
              <w:t>owned</w:t>
            </w:r>
          </w:p>
        </w:tc>
        <w:tc>
          <w:tcPr>
            <w:tcW w:w="160" w:type="dxa"/>
            <w:vAlign w:val="bottom"/>
          </w:tcPr>
          <w:p>
            <w:pPr>
              <w:spacing w:after="0"/>
              <w:rPr>
                <w:sz w:val="20"/>
                <w:szCs w:val="20"/>
                <w:color w:val="auto"/>
              </w:rPr>
            </w:pPr>
          </w:p>
        </w:tc>
        <w:tc>
          <w:tcPr>
            <w:tcW w:w="1080" w:type="dxa"/>
            <w:vAlign w:val="bottom"/>
            <w:gridSpan w:val="2"/>
          </w:tcPr>
          <w:p>
            <w:pPr>
              <w:jc w:val="right"/>
              <w:ind w:right="248"/>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8"/>
                <w:szCs w:val="18"/>
                <w:color w:val="auto"/>
              </w:rPr>
              <w:t>473</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0.92%</w:t>
            </w: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02"/>
        </w:trPr>
        <w:tc>
          <w:tcPr>
            <w:tcW w:w="2300" w:type="dxa"/>
            <w:vAlign w:val="bottom"/>
          </w:tcPr>
          <w:p>
            <w:pPr>
              <w:ind w:left="180"/>
              <w:spacing w:after="0" w:line="201" w:lineRule="exact"/>
              <w:rPr>
                <w:sz w:val="20"/>
                <w:szCs w:val="20"/>
                <w:color w:val="auto"/>
              </w:rPr>
            </w:pPr>
            <w:r>
              <w:rPr>
                <w:rFonts w:ascii="Arial" w:cs="Arial" w:eastAsia="Arial" w:hAnsi="Arial"/>
                <w:sz w:val="18"/>
                <w:szCs w:val="18"/>
                <w:color w:val="auto"/>
              </w:rPr>
              <w:t>Accelerated accretion and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300" w:type="dxa"/>
            <w:vAlign w:val="bottom"/>
          </w:tcPr>
          <w:p>
            <w:pPr>
              <w:ind w:left="360"/>
              <w:spacing w:after="0"/>
              <w:rPr>
                <w:sz w:val="20"/>
                <w:szCs w:val="20"/>
                <w:color w:val="auto"/>
              </w:rPr>
            </w:pPr>
            <w:r>
              <w:rPr>
                <w:rFonts w:ascii="Arial" w:cs="Arial" w:eastAsia="Arial" w:hAnsi="Arial"/>
                <w:sz w:val="18"/>
                <w:szCs w:val="18"/>
                <w:color w:val="auto"/>
              </w:rPr>
              <w:t>loan fees</w:t>
            </w:r>
          </w:p>
        </w:tc>
        <w:tc>
          <w:tcPr>
            <w:tcW w:w="160" w:type="dxa"/>
            <w:vAlign w:val="bottom"/>
          </w:tcPr>
          <w:p>
            <w:pPr>
              <w:spacing w:after="0"/>
              <w:rPr>
                <w:sz w:val="20"/>
                <w:szCs w:val="20"/>
                <w:color w:val="auto"/>
              </w:rPr>
            </w:pPr>
          </w:p>
        </w:tc>
        <w:tc>
          <w:tcPr>
            <w:tcW w:w="1080" w:type="dxa"/>
            <w:vAlign w:val="bottom"/>
            <w:gridSpan w:val="2"/>
          </w:tcPr>
          <w:p>
            <w:pPr>
              <w:jc w:val="right"/>
              <w:ind w:right="248"/>
              <w:spacing w:after="0"/>
              <w:rPr>
                <w:sz w:val="20"/>
                <w:szCs w:val="20"/>
                <w:color w:val="auto"/>
              </w:rPr>
            </w:pPr>
            <w:r>
              <w:rPr>
                <w:rFonts w:ascii="Arial" w:cs="Arial" w:eastAsia="Arial" w:hAnsi="Arial"/>
                <w:sz w:val="18"/>
                <w:szCs w:val="18"/>
                <w:color w:val="auto"/>
              </w:rPr>
              <w:t>1,086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8"/>
                <w:szCs w:val="18"/>
                <w:color w:val="auto"/>
              </w:rPr>
              <w:t>482</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20"/>
                <w:szCs w:val="20"/>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8"/>
                <w:szCs w:val="18"/>
                <w:color w:val="auto"/>
              </w:rPr>
              <w:t>2,363</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2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5.24%</w:t>
            </w:r>
          </w:p>
        </w:tc>
      </w:tr>
      <w:tr>
        <w:trPr>
          <w:trHeight w:val="182"/>
        </w:trPr>
        <w:tc>
          <w:tcPr>
            <w:tcW w:w="2300" w:type="dxa"/>
            <w:vAlign w:val="bottom"/>
            <w:tcBorders>
              <w:top w:val="single" w:sz="8" w:color="CCEEFF"/>
            </w:tcBorders>
            <w:shd w:val="clear" w:color="auto" w:fill="CCEEFF"/>
          </w:tcPr>
          <w:p>
            <w:pPr>
              <w:ind w:left="360"/>
              <w:spacing w:after="0" w:line="182" w:lineRule="exact"/>
              <w:rPr>
                <w:sz w:val="20"/>
                <w:szCs w:val="20"/>
                <w:color w:val="auto"/>
              </w:rPr>
            </w:pPr>
            <w:r>
              <w:rPr>
                <w:rFonts w:ascii="Arial" w:cs="Arial" w:eastAsia="Arial" w:hAnsi="Arial"/>
                <w:sz w:val="18"/>
                <w:szCs w:val="18"/>
                <w:color w:val="auto"/>
              </w:rPr>
              <w:t>Total transactional</w:t>
            </w: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0"/>
        </w:trPr>
        <w:tc>
          <w:tcPr>
            <w:tcW w:w="2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1,903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482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3,689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r>
      <w:tr>
        <w:trPr>
          <w:trHeight w:val="210"/>
        </w:trPr>
        <w:tc>
          <w:tcPr>
            <w:tcW w:w="2300" w:type="dxa"/>
            <w:vAlign w:val="bottom"/>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15.95%</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16.05%</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8,459</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16.53%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15.79%</w:t>
            </w: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20" w:firstLine="8"/>
        <w:spacing w:after="0" w:line="277" w:lineRule="auto"/>
        <w:tabs>
          <w:tab w:leader="none" w:pos="2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ectPr>
          <w:pgSz w:w="11900" w:h="16838" w:orient="portrait"/>
          <w:cols w:equalWidth="0" w:num="1">
            <w:col w:w="11420"/>
          </w:cols>
          <w:pgMar w:left="240" w:top="108" w:right="239" w:bottom="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Three Months Ended December 31, 2012 and 2011</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Net interest income for the three months ended December 31, 2012 and 2011 was $7.1 million and $4.9 million, respectively. The increase of $2.2 million was largely attributable to growth in the LASG loan portfolio, which earned an average yield of 13.0% for the quarter ended December 31, 2012 on an average outstanding balance of $131.0 million. The following table summarizes interest income and related yields recognized on the Company’s loans.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3"/>
              </w:rPr>
              <w:t>Three Months Ended December 31,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Interest</w:t>
            </w: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Interest</w:t>
            </w: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Income</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6"/>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306,141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4,544</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LASG: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117,365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3,945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31,001</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1,254</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0"/>
        </w:trPr>
        <w:tc>
          <w:tcPr>
            <w:tcW w:w="2620" w:type="dxa"/>
            <w:vAlign w:val="bottom"/>
          </w:tcPr>
          <w:p>
            <w:pPr>
              <w:ind w:left="54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340,172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20" w:type="dxa"/>
            <w:vAlign w:val="bottom"/>
            <w:tcBorders>
              <w:bottom w:val="single" w:sz="8" w:color="auto"/>
            </w:tcBorders>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quarter ended December 31, 2012, net interest income was negatively affected by a lower level of noncash accretion of fair value adjustments resulting from the merger than in the comparable 2011 quarter. The effect of such accretion will continue to diminish as financial instruments held at the merger mature or prepay. The following table summarizes the effects of such accretion.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 December 31,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Income</w:t>
            </w:r>
          </w:p>
        </w:tc>
        <w:tc>
          <w:tcPr>
            <w:tcW w:w="116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Effect on</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Income</w:t>
            </w:r>
          </w:p>
        </w:tc>
        <w:tc>
          <w:tcPr>
            <w:tcW w:w="960" w:type="dxa"/>
            <w:vAlign w:val="bottom"/>
          </w:tcPr>
          <w:p>
            <w:pPr>
              <w:jc w:val="right"/>
              <w:ind w:right="134"/>
              <w:spacing w:after="0" w:line="119" w:lineRule="exact"/>
              <w:rPr>
                <w:sz w:val="20"/>
                <w:szCs w:val="20"/>
                <w:color w:val="auto"/>
              </w:rPr>
            </w:pPr>
            <w:r>
              <w:rPr>
                <w:rFonts w:ascii="Arial" w:cs="Arial" w:eastAsia="Arial" w:hAnsi="Arial"/>
                <w:sz w:val="13"/>
                <w:szCs w:val="13"/>
                <w:b w:val="1"/>
                <w:bCs w:val="1"/>
                <w:color w:val="auto"/>
              </w:rPr>
              <w:t>Effect on</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(Expense)</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Yield / Rate</w:t>
            </w:r>
          </w:p>
        </w:tc>
        <w:tc>
          <w:tcPr>
            <w:tcW w:w="2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(Expense)</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Yield / Rate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135,663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139,051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388,833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129,323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73,216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433,031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352,083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344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78,782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578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0.40%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473,823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997</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interest rate spread and net interest margin increased by 67 basis points and 75 basis points, respectively, for the quarter ended December 31, 2012 compared to the quarter ended December 31, 2011. These increases were principally the result of the aforementioned increase in purchased loans. The following sets forth the average balance sheets, interest income and interest expense, and average yields and costs for the three months ended December 31, 2012 and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December 31,</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35"/>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35"/>
              <w:spacing w:after="0" w:line="142" w:lineRule="exact"/>
              <w:rPr>
                <w:sz w:val="20"/>
                <w:szCs w:val="20"/>
                <w:color w:val="auto"/>
              </w:rPr>
            </w:pPr>
            <w:r>
              <w:rPr>
                <w:rFonts w:ascii="Arial" w:cs="Arial" w:eastAsia="Arial" w:hAnsi="Arial"/>
                <w:sz w:val="14"/>
                <w:szCs w:val="14"/>
                <w:b w:val="1"/>
                <w:bCs w:val="1"/>
                <w:color w:val="auto"/>
                <w:w w:val="89"/>
              </w:rPr>
              <w:t>2011</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0"/>
                <w:szCs w:val="10"/>
                <w:color w:val="auto"/>
              </w:rPr>
            </w:pPr>
          </w:p>
        </w:tc>
        <w:tc>
          <w:tcPr>
            <w:tcW w:w="11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Interest</w:t>
            </w:r>
          </w:p>
        </w:tc>
        <w:tc>
          <w:tcPr>
            <w:tcW w:w="12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0"/>
                <w:szCs w:val="10"/>
                <w:color w:val="auto"/>
              </w:rPr>
            </w:pPr>
          </w:p>
        </w:tc>
        <w:tc>
          <w:tcPr>
            <w:tcW w:w="12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Interest</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Income/</w:t>
            </w:r>
          </w:p>
        </w:tc>
        <w:tc>
          <w:tcPr>
            <w:tcW w:w="14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Yield/</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Income/</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Expense</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Expense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5"/>
          </w:tcPr>
          <w:p>
            <w:pPr>
              <w:jc w:val="right"/>
              <w:ind w:righ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139,051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Loans (2) (3)</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388,833</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8,267</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340,172</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5,874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123,850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67,455</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653,819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552,439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38,253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37,122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694,994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592,542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54,733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54,806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52,558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44,247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31,100</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32,360</w:t>
            </w: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294,640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914</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220,670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433,031</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0.94%</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352,083</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3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78,782</w:t>
            </w:r>
          </w:p>
        </w:tc>
        <w:tc>
          <w:tcPr>
            <w:tcW w:w="42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443</w:t>
            </w:r>
          </w:p>
        </w:tc>
        <w:tc>
          <w:tcPr>
            <w:tcW w:w="1080" w:type="dxa"/>
            <w:vAlign w:val="bottom"/>
          </w:tcPr>
          <w:p>
            <w:pPr>
              <w:jc w:val="right"/>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113,100</w:t>
            </w:r>
          </w:p>
        </w:tc>
        <w:tc>
          <w:tcPr>
            <w:tcW w:w="4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532</w:t>
            </w: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8,165</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8,009</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521,041</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5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473,823</w:t>
            </w:r>
          </w:p>
        </w:tc>
        <w:tc>
          <w:tcPr>
            <w:tcW w:w="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5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Interest-bearing liabilities of</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discontinued operations (5)</w:t>
            </w:r>
          </w:p>
        </w:tc>
        <w:tc>
          <w:tcPr>
            <w:tcW w:w="3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52,297</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47,290</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4,717</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5,723</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578,055</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526,836</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116,939</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65,706</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592,542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interest income</w:t>
            </w:r>
          </w:p>
        </w:tc>
        <w:tc>
          <w:tcPr>
            <w:tcW w:w="3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7,057</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4,916</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interest margin (6)</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340" w:hanging="332"/>
        <w:spacing w:after="0" w:line="250" w:lineRule="auto"/>
        <w:tabs>
          <w:tab w:leader="none" w:pos="3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interest-bearing liabilities associated with discontinued operations has been excluded from the calculation of average rates paid, interest rate spread, and net interest margin.</w:t>
      </w: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40" w:type="dxa"/>
            <w:vAlign w:val="bottom"/>
            <w:gridSpan w:val="8"/>
          </w:tcPr>
          <w:p>
            <w:pPr>
              <w:jc w:val="center"/>
              <w:ind w:left="935"/>
              <w:spacing w:after="0"/>
              <w:rPr>
                <w:sz w:val="20"/>
                <w:szCs w:val="20"/>
                <w:color w:val="auto"/>
              </w:rPr>
            </w:pPr>
            <w:r>
              <w:rPr>
                <w:rFonts w:ascii="Arial" w:cs="Arial" w:eastAsia="Arial" w:hAnsi="Arial"/>
                <w:sz w:val="14"/>
                <w:szCs w:val="14"/>
                <w:b w:val="1"/>
                <w:bCs w:val="1"/>
                <w:color w:val="auto"/>
                <w:w w:val="93"/>
              </w:rPr>
              <w:t>Three Months Ended December 31, 2012</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gridSpan w:val="9"/>
          </w:tcPr>
          <w:p>
            <w:pPr>
              <w:jc w:val="center"/>
              <w:ind w:right="91"/>
              <w:spacing w:after="0"/>
              <w:rPr>
                <w:sz w:val="20"/>
                <w:szCs w:val="20"/>
                <w:color w:val="auto"/>
              </w:rPr>
            </w:pPr>
            <w:r>
              <w:rPr>
                <w:rFonts w:ascii="Arial" w:cs="Arial" w:eastAsia="Arial" w:hAnsi="Arial"/>
                <w:sz w:val="14"/>
                <w:szCs w:val="14"/>
                <w:b w:val="1"/>
                <w:bCs w:val="1"/>
                <w:color w:val="auto"/>
                <w:w w:val="92"/>
              </w:rPr>
              <w:t>Compared to the Three Months Ended December 31, 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Change Due to</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Change Due to</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Total Change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Investments securities</w:t>
            </w:r>
          </w:p>
        </w:tc>
        <w:tc>
          <w:tcPr>
            <w:tcW w:w="9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Regulatory stock</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increase in interest income</w:t>
            </w:r>
          </w:p>
        </w:tc>
        <w:tc>
          <w:tcPr>
            <w:tcW w:w="7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bearing liabilities: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Interest bearing deposits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Borrowed funds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debentures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increase in interest expense</w:t>
            </w:r>
          </w:p>
        </w:tc>
        <w:tc>
          <w:tcPr>
            <w:tcW w:w="7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increase in net interest and dividend income</w:t>
            </w: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2012 and 2011</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interest income for the six months ended December 31, 2012 and 2011 was $13.2 million and $9.2 million, respectively. The increase of $4.0 million was largely attributable to growth in the LASG loan portfolio, which earned an average yield of 13.6% for the six months ended December 31, 2012 on an average outstanding balance of $111.8 million. The following table summarizes interest income and related yields recognized on the Company’s loans.</w:t>
      </w:r>
    </w:p>
    <w:p>
      <w:pPr>
        <w:spacing w:after="0" w:line="12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Interest Income and Yield on Loans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2"/>
              </w:rPr>
              <w:t>Six Months Ended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Average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Interest</w:t>
            </w: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Interest</w:t>
            </w: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Income</w:t>
            </w: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rPr>
              <w:t>Income</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264,298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307,788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LASG:</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Purchased</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7,133</w:t>
            </w:r>
          </w:p>
        </w:tc>
        <w:tc>
          <w:tcPr>
            <w:tcW w:w="12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111,832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0"/>
        </w:trPr>
        <w:tc>
          <w:tcPr>
            <w:tcW w:w="2840" w:type="dxa"/>
            <w:vAlign w:val="bottom"/>
          </w:tcPr>
          <w:p>
            <w:pPr>
              <w:ind w:left="5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376,130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15,608</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328,210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0" w:gutter="0" w:footer="0" w:header="0"/>
          <w:type w:val="continuous"/>
        </w:sectPr>
      </w:pPr>
    </w:p>
    <w:bookmarkStart w:id="31" w:name="page32"/>
    <w:bookmarkEnd w:id="3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In the six months ended December 31, 2012, net interest income was negatively affected by a lower level of noncash accretion of fair value adjustments resulting from the merger than in the comparable 2011 period. The effect of such accretion will continue to diminish as financial instruments held at the merger mature or prepay. The following table summarizes the effects of such accretion.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9"/>
              </w:rPr>
              <w:t>Six Months Ended December 31,</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Average</w:t>
            </w:r>
          </w:p>
        </w:tc>
        <w:tc>
          <w:tcPr>
            <w:tcW w:w="180" w:type="dxa"/>
            <w:vAlign w:val="bottom"/>
          </w:tcPr>
          <w:p>
            <w:pPr>
              <w:spacing w:after="0"/>
              <w:rPr>
                <w:sz w:val="10"/>
                <w:szCs w:val="10"/>
                <w:color w:val="auto"/>
              </w:rPr>
            </w:pPr>
          </w:p>
        </w:tc>
        <w:tc>
          <w:tcPr>
            <w:tcW w:w="12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Income</w:t>
            </w:r>
          </w:p>
        </w:tc>
        <w:tc>
          <w:tcPr>
            <w:tcW w:w="108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Effect on</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Average</w:t>
            </w:r>
          </w:p>
        </w:tc>
        <w:tc>
          <w:tcPr>
            <w:tcW w:w="180" w:type="dxa"/>
            <w:vAlign w:val="bottom"/>
          </w:tcPr>
          <w:p>
            <w:pPr>
              <w:spacing w:after="0"/>
              <w:rPr>
                <w:sz w:val="10"/>
                <w:szCs w:val="10"/>
                <w:color w:val="auto"/>
              </w:rPr>
            </w:pPr>
          </w:p>
        </w:tc>
        <w:tc>
          <w:tcPr>
            <w:tcW w:w="12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Income</w:t>
            </w:r>
          </w:p>
        </w:tc>
        <w:tc>
          <w:tcPr>
            <w:tcW w:w="1060" w:type="dxa"/>
            <w:vAlign w:val="bottom"/>
          </w:tcPr>
          <w:p>
            <w:pPr>
              <w:jc w:val="right"/>
              <w:ind w:right="194"/>
              <w:spacing w:after="0" w:line="119" w:lineRule="exact"/>
              <w:rPr>
                <w:sz w:val="20"/>
                <w:szCs w:val="20"/>
                <w:color w:val="auto"/>
              </w:rPr>
            </w:pPr>
            <w:r>
              <w:rPr>
                <w:rFonts w:ascii="Arial" w:cs="Arial" w:eastAsia="Arial" w:hAnsi="Arial"/>
                <w:sz w:val="13"/>
                <w:szCs w:val="13"/>
                <w:b w:val="1"/>
                <w:bCs w:val="1"/>
                <w:color w:val="auto"/>
              </w:rPr>
              <w:t>Effect on</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(Expense)</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Yield / Rate</w:t>
            </w: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(Expense)</w:t>
            </w: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Yield / Rate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5"/>
          </w:tcPr>
          <w:p>
            <w:pPr>
              <w:jc w:val="right"/>
              <w:ind w:righ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133,730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143,372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376,130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328,210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135,470</w:t>
            </w: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78,664</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645,330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550,246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413,149</w:t>
            </w: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537</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351,640</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716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89,484</w:t>
            </w: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783</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113,423</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1,157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7,990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511,934</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3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473,939</w:t>
            </w: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2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1,611</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2,207</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0.80%</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Company’s interest rate spread and net interest margin increased by 64 basis points and 73 basis points, respectively, for the six months ended December 31, 2012 compared to the six months ended December 31, 2011. The following sets forth the average balance sheets, interest income and interest expense, and average yields and costs for the six months ended December 31, 2012 and 2011.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 December 31,</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34"/>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Interest</w:t>
            </w: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Interest</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Income/</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Yield/</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Income/</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Expense</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5"/>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133,730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143,372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Loans (2) (3)</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376,130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15,608</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328,210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11,011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129,997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72,903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645,330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16,501</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12,307</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686,352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55,664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55,494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32,899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276,308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0.96%</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89,484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945</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113,423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511,934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2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1.30%</w:t>
            </w: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473,939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Interest-bearing liabilities of discontinued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operations (5)</w:t>
            </w: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117,891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65,630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517" w:right="19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40" w:type="dxa"/>
            <w:vAlign w:val="bottom"/>
            <w:gridSpan w:val="2"/>
            <w:shd w:val="clear" w:color="auto" w:fill="CCEEFF"/>
          </w:tcPr>
          <w:p>
            <w:pPr>
              <w:jc w:val="right"/>
              <w:ind w:right="2260"/>
              <w:spacing w:after="0"/>
              <w:rPr>
                <w:sz w:val="20"/>
                <w:szCs w:val="20"/>
                <w:color w:val="auto"/>
              </w:rPr>
            </w:pPr>
            <w:r>
              <w:rPr>
                <w:rFonts w:ascii="Arial" w:cs="Arial" w:eastAsia="Arial" w:hAnsi="Arial"/>
                <w:sz w:val="18"/>
                <w:szCs w:val="18"/>
                <w:color w:val="auto"/>
              </w:rPr>
              <w:t>13,155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3.78%</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interest margin (6)</w:t>
            </w: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40" w:type="dxa"/>
            <w:vAlign w:val="bottom"/>
            <w:gridSpan w:val="2"/>
          </w:tcPr>
          <w:p>
            <w:pPr>
              <w:jc w:val="right"/>
              <w:ind w:right="740"/>
              <w:spacing w:after="0"/>
              <w:rPr>
                <w:sz w:val="20"/>
                <w:szCs w:val="20"/>
                <w:color w:val="auto"/>
              </w:rPr>
            </w:pPr>
            <w:r>
              <w:rPr>
                <w:rFonts w:ascii="Arial" w:cs="Arial" w:eastAsia="Arial" w:hAnsi="Arial"/>
                <w:sz w:val="18"/>
                <w:szCs w:val="18"/>
                <w:color w:val="auto"/>
              </w:rPr>
              <w:t>4.04%</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340" w:hanging="332"/>
        <w:spacing w:after="0" w:line="250" w:lineRule="auto"/>
        <w:tabs>
          <w:tab w:leader="none" w:pos="3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interest-bearing liabilities associated with discontinued operations has been excluded from the calculation of average rates paid, interest rate spread, and net interest margin.</w:t>
      </w: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8"/>
          </w:tcPr>
          <w:p>
            <w:pPr>
              <w:jc w:val="center"/>
              <w:ind w:left="875"/>
              <w:spacing w:after="0"/>
              <w:rPr>
                <w:sz w:val="20"/>
                <w:szCs w:val="20"/>
                <w:color w:val="auto"/>
              </w:rPr>
            </w:pPr>
            <w:r>
              <w:rPr>
                <w:rFonts w:ascii="Arial" w:cs="Arial" w:eastAsia="Arial" w:hAnsi="Arial"/>
                <w:sz w:val="14"/>
                <w:szCs w:val="14"/>
                <w:b w:val="1"/>
                <w:bCs w:val="1"/>
                <w:color w:val="auto"/>
                <w:w w:val="93"/>
              </w:rPr>
              <w:t>Six Months Ended December 31, 2012</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9"/>
          </w:tcPr>
          <w:p>
            <w:pPr>
              <w:jc w:val="center"/>
              <w:ind w:right="71"/>
              <w:spacing w:after="0"/>
              <w:rPr>
                <w:sz w:val="20"/>
                <w:szCs w:val="20"/>
                <w:color w:val="auto"/>
              </w:rPr>
            </w:pPr>
            <w:r>
              <w:rPr>
                <w:rFonts w:ascii="Arial" w:cs="Arial" w:eastAsia="Arial" w:hAnsi="Arial"/>
                <w:sz w:val="14"/>
                <w:szCs w:val="14"/>
                <w:b w:val="1"/>
                <w:bCs w:val="1"/>
                <w:color w:val="auto"/>
                <w:w w:val="92"/>
              </w:rPr>
              <w:t>Compared to the Six Months Ended December 31,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Change Due to</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Change Due to</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Total Change</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Volume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Investments securities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Regulatory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increase in interest income</w:t>
            </w:r>
          </w:p>
        </w:tc>
        <w:tc>
          <w:tcPr>
            <w:tcW w:w="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bearing liabilities:</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Interest bearing deposits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Borrowed funds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debentures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increase in interest expense</w:t>
            </w:r>
          </w:p>
        </w:tc>
        <w:tc>
          <w:tcPr>
            <w:tcW w:w="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increase in net interest and dividend income</w:t>
            </w: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Quarterly, the Company determines the amount of the allowance for loan losses that is adequate to provide for losses inherent in the Company’s loan portfolios, with the provision for loan losses determined by the net change in the allowance for loan losses. For loans acquired with deteriorated credit quality, a provision for loan losses is recorded when estimates of future cash flows are lower than had been previously expected (i.e., there are reduced expected cash flows as a result of credit deterioration or higher net charge-offs than had been previously expected, requiring additional provision for loan losses). See Part I. Item I. “Notes to Unaudited Consolidated Financial Statements — Note 4: Loans, Allowance for Loan losses and Credit Quality” for further discussion.</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provision for loan losses for periods subsequent to the merger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2012 and 2011</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provision for loan losses for the three months ended December 31, 2012 and 2011 was $247 thousand and $134 thousand, respectively. The $113 thousand increase was principally due to specific provisions required on residential and consumer loans modified in troubled debt restructurings during the quarter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2012 and 2011</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provision for loan losses for the six months ended December 31, 2012 and 2011 was $475 thousand and $534 thousand, respectively. The $59 thousand decrease was principally due to lower consumer charge-offs trends during the six months ended December 31, 2012, partially offset by higher provisions required on troubled debt restructurings.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2012 and 2011</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Noninterest income totaled $3.5 million for the three months ended December 31, 2012 compared to $2.7 million for the three months ended December 31, 2011, an increase of $852 thousand. The primary components of this change included the following:</w:t>
      </w:r>
    </w:p>
    <w:p>
      <w:pPr>
        <w:sectPr>
          <w:pgSz w:w="11900" w:h="16838" w:orient="portrait"/>
          <w:cols w:equalWidth="0" w:num="1">
            <w:col w:w="11420"/>
          </w:cols>
          <w:pgMar w:left="240" w:top="140" w:right="239" w:bottom="0" w:gutter="0" w:footer="0" w:header="0"/>
        </w:sectPr>
      </w:pPr>
    </w:p>
    <w:bookmarkStart w:id="33" w:name="page34"/>
    <w:bookmarkEnd w:id="33"/>
    <w:p>
      <w:pPr>
        <w:ind w:left="660" w:right="720" w:hanging="328"/>
        <w:spacing w:after="0" w:line="258"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gains realized on the sale of residential mortgage loans in the secondary market were $914 thousand for the quarter, an increase of $144 thousand, or 18.7%, compared to the quarter ended December 31, 2011.</w:t>
      </w:r>
    </w:p>
    <w:p>
      <w:pPr>
        <w:spacing w:after="0" w:line="1" w:lineRule="exact"/>
        <w:rPr>
          <w:rFonts w:ascii="Arial" w:cs="Arial" w:eastAsia="Arial" w:hAnsi="Arial"/>
          <w:sz w:val="18"/>
          <w:szCs w:val="18"/>
          <w:color w:val="auto"/>
        </w:rPr>
      </w:pPr>
    </w:p>
    <w:p>
      <w:pPr>
        <w:ind w:left="660" w:right="160" w:hanging="328"/>
        <w:spacing w:after="0" w:line="265" w:lineRule="auto"/>
        <w:tabs>
          <w:tab w:leader="none" w:pos="6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 gains on the sale of portfolio loans of $998 thousand for the quarter, an increase of $795 thousand compared to the quarter ended December 31, 2011. Results for the quarter ended December 31, 2012 include an $817 thousand gain on the sale of a purchased loan.</w:t>
      </w:r>
    </w:p>
    <w:p>
      <w:pPr>
        <w:ind w:left="660" w:right="100" w:hanging="328"/>
        <w:spacing w:after="0" w:line="261"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Bank-owned life insurance income totaled $358 thousand for the quarter, an increase of $232 thousand compared to the quarter ended December 31, 2011, the result of life insurance death benefits received.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Investment commissions totaled $799 thousand for the quarter, an increase of $95 thousand compared to the quarter ended December 31, 2011.</w:t>
      </w:r>
    </w:p>
    <w:p>
      <w:pPr>
        <w:spacing w:after="0" w:line="46" w:lineRule="exact"/>
        <w:rPr>
          <w:rFonts w:ascii="Arial" w:cs="Arial" w:eastAsia="Arial" w:hAnsi="Arial"/>
          <w:sz w:val="16"/>
          <w:szCs w:val="16"/>
          <w:color w:val="auto"/>
        </w:rPr>
      </w:pPr>
    </w:p>
    <w:p>
      <w:pPr>
        <w:ind w:left="660" w:right="80" w:hanging="328"/>
        <w:spacing w:after="0" w:line="261"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securities gains were realized during the quarter ended December 31, 2012, as compared to gains of $433 thousand realized for the quarter ended December 31,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2012 and 2011</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Noninterest income totaled $6.7 million for the six months ended December 31, 2012 compared to $4.5 million for the six months ended December 31, 2011, an increase of $2.2 million. The primary components of this change included the following:</w:t>
      </w:r>
    </w:p>
    <w:p>
      <w:pPr>
        <w:spacing w:after="0" w:line="170" w:lineRule="exact"/>
        <w:rPr>
          <w:sz w:val="20"/>
          <w:szCs w:val="20"/>
          <w:color w:val="auto"/>
        </w:rPr>
      </w:pPr>
    </w:p>
    <w:p>
      <w:pPr>
        <w:ind w:left="660" w:right="120" w:hanging="328"/>
        <w:spacing w:after="0" w:line="258"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gains realized on the sale of residential mortgage loans in the secondary market were $1.7 million for the six months ended December 31, 2012, an increase of $244 thousand, or 17.1%, compared to the six months ended December 31, 2011.</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gains on the sale of portfolio loans of $998 thousand for the six months ended December 31, 2012, an increase of $795 thousand compared to the six months ended December 31, 2011. Results for the six months ended December 31, 2012 include an $817 thousand gain on the sale of a purchased loan.</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gains recognized on repossessed collateral were $451 thousand for the six months ended December 31, 2012, compared to net gains of $50 thousand for the six months ended December 31, 2012, an increase principally resulting from a $473 thousand gain realized on the sale of real estate previously securing a purchased loan.</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Bank-owned life insurance income totaled $481 thousand for the six months ended December 31, 2012, an increase of $228 thousand compared to the six months ended December 31, 2011, the result of life insurance death benefits received.</w:t>
      </w:r>
    </w:p>
    <w:p>
      <w:pPr>
        <w:ind w:left="660" w:right="140" w:hanging="328"/>
        <w:spacing w:after="0" w:line="250"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commissions totaled $1.5 million for the six months ended December 31, 2012, an increase of $83 thousand compared to the six months ended December 31, 2011.</w:t>
      </w:r>
    </w:p>
    <w:p>
      <w:pPr>
        <w:ind w:left="660" w:right="100" w:hanging="328"/>
        <w:spacing w:after="0" w:line="254"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securities gains totaled $792 thousand for the six months ended December 31, 2012, an increase of $412 thousand compared to the six months ended December 31, 2011. Increases in security gains resulted from the sale of a substantial portion of the Company’s available-for-sale investment portfolio during the period. The Company reinvested the sales proceeds in government guaranteed mortgage-backed securities similar in composition to the securities sold, albeit at lower market yields.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2012 and 2011</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Noninterest expense totaled $8.1 million for the three months ended December 31, 2012, compared to $6.9 million the three months ended December 31, 2011, an increase of $1.2 million, principally due to the following:</w:t>
      </w:r>
    </w:p>
    <w:p>
      <w:pPr>
        <w:spacing w:after="0" w:line="170" w:lineRule="exact"/>
        <w:rPr>
          <w:sz w:val="20"/>
          <w:szCs w:val="20"/>
          <w:color w:val="auto"/>
        </w:rPr>
      </w:pPr>
    </w:p>
    <w:p>
      <w:pPr>
        <w:ind w:left="660" w:right="200" w:hanging="328"/>
        <w:spacing w:after="0" w:line="254"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$684 thousand in employee compensation, due mainly to increases in staffing and in the cost of employee benefits programs. Full-time equivalent employees increased by 14 over the past year, as the Company has added staff to several operational areas and the LASG. Benefits costs have increased as a result of the replacement of the Company’s self-insured benefits program by a third-party insurance program in the third quarter of Fiscal 2012.</w:t>
      </w:r>
    </w:p>
    <w:p>
      <w:pPr>
        <w:spacing w:after="0" w:line="2" w:lineRule="exact"/>
        <w:rPr>
          <w:rFonts w:ascii="Arial" w:cs="Arial" w:eastAsia="Arial" w:hAnsi="Arial"/>
          <w:sz w:val="18"/>
          <w:szCs w:val="18"/>
          <w:color w:val="auto"/>
        </w:rPr>
      </w:pPr>
    </w:p>
    <w:p>
      <w:pPr>
        <w:ind w:left="660" w:hanging="328"/>
        <w:spacing w:after="0" w:line="265" w:lineRule="auto"/>
        <w:tabs>
          <w:tab w:leader="none" w:pos="6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increase of $231 thousand in occupancy and equipment expense, principally due to increased rent associated with the relocation of the Company’s office in Boston, Massachusetts, and depreciation of investments in new technology, principally those associated with ableBanking.</w:t>
      </w:r>
    </w:p>
    <w:p>
      <w:pPr>
        <w:ind w:left="660" w:right="140" w:hanging="328"/>
        <w:spacing w:after="0" w:line="250"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$191 thousand in loan acquisition and collection expense, principally due to an increase in the size of the LASG portfolio, which has grown to $149.7 million from $54.5 million at December 31, 2011.</w:t>
      </w: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$122 thousand in professional fees, principally due to increased legal and audit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2012 and 2011</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Noninterest expense totaled $15.6 million for the six months ended December 31, 2012, compared to $13.5 million the six months ended December 31, 2011, an increase of $2.1 million, principally due to the following:</w:t>
      </w:r>
    </w:p>
    <w:p>
      <w:pPr>
        <w:spacing w:after="0" w:line="170" w:lineRule="exact"/>
        <w:rPr>
          <w:sz w:val="20"/>
          <w:szCs w:val="20"/>
          <w:color w:val="auto"/>
        </w:rPr>
      </w:pPr>
    </w:p>
    <w:p>
      <w:pPr>
        <w:ind w:left="660" w:right="200" w:hanging="328"/>
        <w:spacing w:after="0" w:line="258"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$1.0 million in employee compensation, due mainly to the aforementioned increases in staffing and in the cost of employee benefits programs.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$460 thousand, principally due to increased rent and depreciation of investments in new technology.</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$363 thousand in loan acquisition and collection expense, principally due to an increase in the size of the LASG portfolio, which has grown to $149.7 million from $54.5 million at December 31, 2011, and an increase in the volume of loan acquisitions and related due diligence activities.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$130 thousand in professional fees, principally due to increased legal and audit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2012 and 2011</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income tax expense was $705 thousand, or an effective rate of 31.7%, for the quarter ended December 31, 2012, compared to $179 thousand, or an effective rate of $30.0%, for the quarter ended December 31, 2011. The effective rate for each quarter differs from the Company’s statutory rate because of favorable book to tax differences, such as tax credits and tax exempt life insurance</w:t>
      </w:r>
    </w:p>
    <w:p>
      <w:pPr>
        <w:sectPr>
          <w:pgSz w:w="11900" w:h="16838" w:orient="portrait"/>
          <w:cols w:equalWidth="0" w:num="1">
            <w:col w:w="11420"/>
          </w:cols>
          <w:pgMar w:left="240" w:top="125" w:right="239" w:bottom="0" w:gutter="0" w:footer="0" w:header="0"/>
        </w:sectPr>
      </w:pPr>
    </w:p>
    <w:bookmarkStart w:id="34" w:name="page35"/>
    <w:bookmarkEnd w:id="34"/>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income. The increase in the Company’s effective tax rate from the quarter ended December 31, 2011 to December 31, 2012 principally resulted from the higher level of pretax income relative to book to tax differences.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2012 and 2011</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Company’s income tax expense was $1.2 million, or an effective rate of 31.8%, for the six months ended December 31, 2012, as compared to a tax benefit of $224 thousand for the six months ended December 31, 2011. The tax benefit in the 2011 quarter resulted from a pretax loss of $400 thousand.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 Discontinued Operations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quarter ended September 30, 2011, the Company sold intangible assets (principally customer lists) and certain fixed assets of NBIG to local insurance agencies in two separate transactions. The Varney Agency, Inc. of Bangor, Maine, purchased the assets of nine NBIG offices in Anson, Auburn, Augusta, Bethel, Livermore Falls, Scarborough, South Paris, Thomaston and Turner, Maine. The NBIG office in Berwick, Maine, which now operates under the name of Spence &amp; Matthews, was acquired by a member of NBIG’s senior management team. In connection with the transaction, the Company also repaid borrowings associated with NBIG totaling $2.1 million.</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no longer conducts any significant operations in the insurance agency business and therefore has classified the operating results of NBIG, and the associated gain on sale of the division, as discontinued operations in the consolidated financial statements. See Part I. Item I. “Notes to Unaudited Consolidated Financial Statements — Note 6: “Discontinued Operations” for further details.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income from discontinued operations for the six months ended December 31, 2011 was $1.1 million. Income for the period included a $1.5 million pre-tax gain on sale of the assets of NBIG, and pre-tax income associated with operations of $186 thousand. Income taxes associated with discontinued operations totaled $592 thousand, or an effective rate of 34.6%.</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 - 15(e) and 15d - 15(e) under the Exchange Act) as of the end of the period covered by this Quarterly Report on Form 10-Q.</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December 31, 2012.</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 - 15(f) of the Exchange Act) that occurred during the quarter ended December 31, 2012 that have materially affected, or is reasonably likely to materially affect, the Company’s internal controls over financial reporting.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the ordinary course of business, the Company is involved in various threatened and pending legal proceedings.</w:t>
      </w:r>
    </w:p>
    <w:p>
      <w:pPr>
        <w:spacing w:after="0" w:line="225" w:lineRule="exact"/>
        <w:rPr>
          <w:sz w:val="20"/>
          <w:szCs w:val="20"/>
          <w:color w:val="auto"/>
        </w:rPr>
      </w:pPr>
    </w:p>
    <w:p>
      <w:pPr>
        <w:ind w:left="1100"/>
        <w:spacing w:after="0" w:line="255" w:lineRule="auto"/>
        <w:rPr>
          <w:sz w:val="20"/>
          <w:szCs w:val="20"/>
          <w:color w:val="auto"/>
        </w:rPr>
      </w:pPr>
      <w:r>
        <w:rPr>
          <w:rFonts w:ascii="Arial" w:cs="Arial" w:eastAsia="Arial" w:hAnsi="Arial"/>
          <w:sz w:val="18"/>
          <w:szCs w:val="18"/>
          <w:color w:val="auto"/>
        </w:rPr>
        <w:t>In August 2011, the Bank received a summons and complaint in TSM Properties, LLC v. Northeast Bank and Daniel G. Thompson, Docket No. BCD-CV-12-10, State of Maine Superior Court Business and Consumer Docket sitting in Portland, Cumberland County, Maine, in connection with a dispute regarding transfers of money that involves the Bank. Damages sought include $2.2 million and additional unspecified amounts. The Bank intends to vigorously defend against these claims. While it is not feasible to predict or determine the outcome of these proceedings, the Company believes that a loss resulting from an adverse outcome to this matter is reasonably possible, though the amount of the loss is not determinable at this time. As such, the Company has not established a reserve against potential damages arising from this matter.</w:t>
      </w:r>
    </w:p>
    <w:p>
      <w:pPr>
        <w:spacing w:after="0" w:line="18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required for smaller reporting companies.</w:t>
      </w:r>
    </w:p>
    <w:p>
      <w:pPr>
        <w:sectPr>
          <w:pgSz w:w="11900" w:h="16874" w:orient="portrait"/>
          <w:cols w:equalWidth="0" w:num="1">
            <w:col w:w="11400"/>
          </w:cols>
          <w:pgMar w:left="240" w:top="125" w:right="259" w:bottom="0" w:gutter="0" w:footer="0" w:header="0"/>
        </w:sectPr>
      </w:pPr>
    </w:p>
    <w:bookmarkStart w:id="35" w:name="page36"/>
    <w:bookmarkEnd w:id="35"/>
    <w:p>
      <w:pPr>
        <w:spacing w:after="0" w:line="2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Exhibits</w:t>
            </w:r>
          </w:p>
        </w:tc>
        <w:tc>
          <w:tcPr>
            <w:tcW w:w="9680" w:type="dxa"/>
            <w:vAlign w:val="bottom"/>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9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16"/>
                <w:szCs w:val="16"/>
                <w:color w:val="auto"/>
              </w:rPr>
            </w:pPr>
          </w:p>
        </w:tc>
        <w:tc>
          <w:tcPr>
            <w:tcW w:w="9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Articles of Amendment to the Amended and Restated Articles of Incorporation of Northeast Bancorp, as amended, filed with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w w:val="95"/>
              </w:rPr>
              <w:t>Secretary of State of the State of Maine on November 28, 2012 (incorporated by reference to Exhibit 3.1 of Northeast Bancorp’s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Current Report on Form 8-K filed with the Securities and Exchange Commission on November 29, 2012).</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w w:val="90"/>
              </w:rPr>
              <w:t>Form of Restricted Stock Award Agreement under Northeast Bancorp Amended and Restated 2010 Stock Option and Incentive Plan.*</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w w:val="94"/>
              </w:rPr>
              <w:t>Form of Non-Qualified Stock Option Agreement for Company Employees under Northeast Bancorp Amended and Restated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Stock Option and Incentive Plan.*</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w w:val="92"/>
              </w:rPr>
              <w:t>Certificate of the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Oxley Act of 2002 (Rule 13a-14(b)). **</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w w:val="93"/>
              </w:rPr>
              <w:t>Certificate of the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Oxley Act of 2002 (Rule 13a-14(b)). **</w:t>
            </w:r>
          </w:p>
        </w:tc>
        <w:tc>
          <w:tcPr>
            <w:tcW w:w="0" w:type="dxa"/>
            <w:vAlign w:val="bottom"/>
          </w:tcPr>
          <w:p>
            <w:pPr>
              <w:spacing w:after="0"/>
              <w:rPr>
                <w:sz w:val="1"/>
                <w:szCs w:val="1"/>
                <w:color w:val="auto"/>
              </w:rPr>
            </w:pPr>
          </w:p>
        </w:tc>
      </w:tr>
    </w:tbl>
    <w:p>
      <w:pPr>
        <w:ind w:left="1620" w:right="200" w:hanging="741"/>
        <w:spacing w:after="0" w:line="270" w:lineRule="auto"/>
        <w:tabs>
          <w:tab w:leader="none" w:pos="1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following materials from Northeast Bancorp’s Quarterly Report on Form 10-Q for the quarter ended December 31, 2012 formatted in XBRL: (i) Consolidated Balance Sheets at December 31, 2012 and June 30, 2012; (ii) Consolidated Statements of Income for the three and six months ended December 31, 2012 and 2011; (iii) Consolidated Statements of Comprehensive Income for the three and six months ended December 31, 2012 and 2011; (iv) Consolidated Statements of Changes in Shareholders’ Equity for the six months ended December 31, 2012 and 2011; (v) Consolidated Statements of Cash Flows for the six months ended December, 2012 and 2011; and (v) Notes to Unaudited Consolidated Financial Statements. ***</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7"/>
          <w:szCs w:val="17"/>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right="160" w:firstLine="8"/>
        <w:spacing w:after="0" w:line="323" w:lineRule="auto"/>
        <w:tabs>
          <w:tab w:leader="none" w:pos="3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is furnished and not filed for purposes of Sections 11 and 12 of the Securities Act of 1933, as amended, and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23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NORTHEAST BANCORP</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660" w:type="dxa"/>
            <w:vAlign w:val="bottom"/>
            <w:gridSpan w:val="2"/>
          </w:tcPr>
          <w:p>
            <w:pPr>
              <w:ind w:left="2040"/>
              <w:spacing w:after="0"/>
              <w:rPr>
                <w:sz w:val="20"/>
                <w:szCs w:val="20"/>
                <w:color w:val="auto"/>
              </w:rPr>
            </w:pPr>
            <w:r>
              <w:rPr>
                <w:rFonts w:ascii="Arial" w:cs="Arial" w:eastAsia="Arial" w:hAnsi="Arial"/>
                <w:sz w:val="18"/>
                <w:szCs w:val="18"/>
                <w:color w:val="auto"/>
              </w:rPr>
              <w:t>By: /s/</w:t>
            </w:r>
          </w:p>
        </w:tc>
        <w:tc>
          <w:tcPr>
            <w:tcW w:w="5060" w:type="dxa"/>
            <w:vAlign w:val="bottom"/>
          </w:tcPr>
          <w:p>
            <w:pPr>
              <w:ind w:left="100"/>
              <w:spacing w:after="0"/>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President and CEO</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660" w:type="dxa"/>
            <w:vAlign w:val="bottom"/>
            <w:gridSpan w:val="2"/>
          </w:tcPr>
          <w:p>
            <w:pPr>
              <w:ind w:left="2040"/>
              <w:spacing w:after="0"/>
              <w:rPr>
                <w:sz w:val="20"/>
                <w:szCs w:val="20"/>
                <w:color w:val="auto"/>
              </w:rPr>
            </w:pPr>
            <w:r>
              <w:rPr>
                <w:rFonts w:ascii="Arial" w:cs="Arial" w:eastAsia="Arial" w:hAnsi="Arial"/>
                <w:sz w:val="18"/>
                <w:szCs w:val="18"/>
                <w:color w:val="auto"/>
              </w:rPr>
              <w:t>By: /s/</w:t>
            </w:r>
          </w:p>
        </w:tc>
        <w:tc>
          <w:tcPr>
            <w:tcW w:w="5060" w:type="dxa"/>
            <w:vAlign w:val="bottom"/>
          </w:tcPr>
          <w:p>
            <w:pPr>
              <w:ind w:left="100"/>
              <w:spacing w:after="0"/>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r>
      <w:tr>
        <w:trPr>
          <w:trHeight w:val="230"/>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380" w:type="dxa"/>
            <w:vAlign w:val="bottom"/>
          </w:tcPr>
          <w:p>
            <w:pPr>
              <w:jc w:val="right"/>
              <w:ind w:right="19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60" w:orient="portrait"/>
          <w:cols w:equalWidth="0" w:num="1">
            <w:col w:w="11460"/>
          </w:cols>
          <w:pgMar w:left="240" w:top="337" w:right="199" w:bottom="0" w:gutter="0" w:footer="0" w:header="0"/>
        </w:sectPr>
      </w:pPr>
    </w:p>
    <w:bookmarkStart w:id="36" w:name="page37"/>
    <w:bookmarkEnd w:id="36"/>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tcPr>
          <w:p>
            <w:pPr>
              <w:ind w:left="3060"/>
              <w:spacing w:after="0"/>
              <w:rPr>
                <w:sz w:val="20"/>
                <w:szCs w:val="20"/>
                <w:color w:val="auto"/>
              </w:rPr>
            </w:pPr>
            <w:r>
              <w:rPr>
                <w:rFonts w:ascii="Arial" w:cs="Arial" w:eastAsia="Arial" w:hAnsi="Arial"/>
                <w:sz w:val="18"/>
                <w:szCs w:val="18"/>
                <w:b w:val="1"/>
                <w:bCs w:val="1"/>
                <w:color w:val="auto"/>
              </w:rPr>
              <w:t>NORTHEAST BANCORP</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80" w:type="dxa"/>
            <w:vAlign w:val="bottom"/>
          </w:tcPr>
          <w:p>
            <w:pPr>
              <w:ind w:left="34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Exhibits</w:t>
            </w:r>
          </w:p>
        </w:tc>
        <w:tc>
          <w:tcPr>
            <w:tcW w:w="9680" w:type="dxa"/>
            <w:vAlign w:val="bottom"/>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9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16"/>
                <w:szCs w:val="16"/>
                <w:color w:val="auto"/>
              </w:rPr>
            </w:pPr>
          </w:p>
        </w:tc>
        <w:tc>
          <w:tcPr>
            <w:tcW w:w="9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Articles of Amendment to the Amended and Restated Articles of Incorporation of Northeast Bancorp, as amended, filed with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w w:val="95"/>
              </w:rPr>
              <w:t>Secretary of State of the State of Maine on November 28, 2012 (incorporated by reference to Exhibit 3.1 of Northeast Bancorp’s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Current Report on Form 8-K filed with the Securities and Exchange Commission on November 29, 2012).</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w w:val="90"/>
              </w:rPr>
              <w:t>Form of Restricted Stock Award Agreement under Northeast Bancorp Amended and Restated 2010 Stock Option and Incentive Plan.*</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w w:val="94"/>
              </w:rPr>
              <w:t>Form of Non-Qualified Stock Option Agreement for Company Employees under Northeast Bancorp Amended and Restated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Stock Option and Incentive Plan.*</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w w:val="92"/>
              </w:rPr>
              <w:t>Certificate of the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Oxley Act of 2002 (Rule 13a-14(b)). **</w:t>
            </w:r>
          </w:p>
        </w:tc>
        <w:tc>
          <w:tcPr>
            <w:tcW w:w="0" w:type="dxa"/>
            <w:vAlign w:val="bottom"/>
          </w:tcPr>
          <w:p>
            <w:pPr>
              <w:spacing w:after="0"/>
              <w:rPr>
                <w:sz w:val="1"/>
                <w:szCs w:val="1"/>
                <w:color w:val="auto"/>
              </w:rPr>
            </w:pP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w w:val="93"/>
              </w:rPr>
              <w:t>Certificate of the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Oxley Act of 2002 (Rule 13a-14(b)). **</w:t>
            </w:r>
          </w:p>
        </w:tc>
        <w:tc>
          <w:tcPr>
            <w:tcW w:w="0" w:type="dxa"/>
            <w:vAlign w:val="bottom"/>
          </w:tcPr>
          <w:p>
            <w:pPr>
              <w:spacing w:after="0"/>
              <w:rPr>
                <w:sz w:val="1"/>
                <w:szCs w:val="1"/>
                <w:color w:val="auto"/>
              </w:rPr>
            </w:pPr>
          </w:p>
        </w:tc>
      </w:tr>
    </w:tbl>
    <w:p>
      <w:pPr>
        <w:ind w:left="1620" w:right="40" w:hanging="741"/>
        <w:spacing w:after="0" w:line="270" w:lineRule="auto"/>
        <w:tabs>
          <w:tab w:leader="none" w:pos="1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following materials from Northeast Bancorp’s Quarterly Report on Form 10-Q for the quarter ended December 31, 2012 formatted in XBRL: (i) Consolidated Balance Sheets at December 31, 2012 and June 30, 2012; (ii) Consolidated Statements of Income for the three and six months ended December 31, 2012 and 2011; (iii) Consolidated Statements of Comprehensive Income for the three and six months ended December 31, 2012 and 2011; (iv) Consolidated Statements of Changes in Shareholders’ Equity for the six months ended December 31, 2012 and 2011; (v) Consolidated Statements of Cash Flows for the six months ended December, 2012 and 2011; and (v) Notes to Unaudited Consolidated Financial Statements. ***</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7"/>
          <w:szCs w:val="17"/>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firstLine="8"/>
        <w:spacing w:after="0" w:line="323" w:lineRule="auto"/>
        <w:tabs>
          <w:tab w:leader="none" w:pos="3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is furnished and not filed for purposes of Sections 11 and 12 of the Securities Act of 1933, as amended, and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NORTHEAST BANCORP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OPTION AND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Type of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of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Pursuant to the Northeast Bancorp Amended and Restated 2010 Stock Option and Incentive Plan (the “Plan”) as amended through the date hereof, Northeast Bancorp (the “Company”) hereby grants a Restricted Stock Award (an “Award”) to the Grantee named above. Upon acceptance of this Award, the Grantee shall receive the number of shares of Voting Common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58" w:lineRule="exact"/>
        <w:rPr>
          <w:sz w:val="20"/>
          <w:szCs w:val="20"/>
          <w:color w:val="auto"/>
        </w:rPr>
      </w:pPr>
    </w:p>
    <w:p>
      <w:pPr>
        <w:ind w:firstLine="656"/>
        <w:spacing w:after="0" w:line="257" w:lineRule="auto"/>
        <w:tabs>
          <w:tab w:leader="none" w:pos="129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780" w:firstLine="1305"/>
        <w:spacing w:after="0" w:line="308" w:lineRule="auto"/>
        <w:tabs>
          <w:tab w:leader="none" w:pos="1942"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46" w:lineRule="exact"/>
        <w:rPr>
          <w:rFonts w:ascii="Arial" w:cs="Arial" w:eastAsia="Arial" w:hAnsi="Arial"/>
          <w:sz w:val="17"/>
          <w:szCs w:val="17"/>
          <w:color w:val="auto"/>
        </w:rPr>
      </w:pPr>
    </w:p>
    <w:p>
      <w:pPr>
        <w:ind w:right="120" w:firstLine="1305"/>
        <w:spacing w:after="0" w:line="277" w:lineRule="auto"/>
        <w:tabs>
          <w:tab w:leader="none" w:pos="19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Shares of Restricted Stock granted herein may not be sold, assigned, transferred, pledged or otherwise encumbered or disposed of by the Grantee prior to vesting.</w:t>
      </w:r>
    </w:p>
    <w:p>
      <w:pPr>
        <w:spacing w:after="0" w:line="170" w:lineRule="exact"/>
        <w:rPr>
          <w:rFonts w:ascii="Arial" w:cs="Arial" w:eastAsia="Arial" w:hAnsi="Arial"/>
          <w:sz w:val="18"/>
          <w:szCs w:val="18"/>
          <w:color w:val="auto"/>
        </w:rPr>
      </w:pPr>
    </w:p>
    <w:p>
      <w:pPr>
        <w:ind w:right="120" w:firstLine="1305"/>
        <w:spacing w:after="0" w:line="259" w:lineRule="auto"/>
        <w:tabs>
          <w:tab w:leader="none" w:pos="1955"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the Grantee’s employment with the Company and its Subsidiaries is voluntarily or involuntarily terminated for any reason prior to vesting of shares of Restricted Stock granted herein, all shares of Restricted Stock shall immediately and automatically be forfeited and returned to the Company. Notwithstanding the foregoing, if the Grantee’s employment with the Company and its Subsidiaries is terminated due to the Grantee’s death or disability prior to the vesting of shares of Restricted Stock granted herein, all restrictions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lapse and such shares shall automatically become fully vested. The Administrator’s determination of the reason for termination of the Grantee’s employment shall be conclusive and binding on the Grantee and his or her representatives or legatees.</w:t>
      </w:r>
    </w:p>
    <w:p>
      <w:pPr>
        <w:spacing w:after="0" w:line="170" w:lineRule="exact"/>
        <w:rPr>
          <w:sz w:val="20"/>
          <w:szCs w:val="20"/>
          <w:color w:val="auto"/>
        </w:rPr>
      </w:pPr>
    </w:p>
    <w:p>
      <w:pPr>
        <w:ind w:right="40" w:firstLine="656"/>
        <w:spacing w:after="0" w:line="259" w:lineRule="auto"/>
        <w:tabs>
          <w:tab w:leader="none" w:pos="129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w:t>
      </w:r>
      <w:r>
        <w:rPr>
          <w:rFonts w:ascii="Arial" w:cs="Arial" w:eastAsia="Arial" w:hAnsi="Arial"/>
          <w:sz w:val="18"/>
          <w:szCs w:val="18"/>
          <w:color w:val="auto"/>
        </w:rPr>
        <w:t>. The restrictions and conditions in Paragraph 2 of this Agreement shall lapse on the Vesting Date or Dates specified in the following schedule so long as the Grantee remains an employee of the Company or a Subsidiary on such Dates. If a series of Vesting Dates is specified, then the restrictions and conditions in Paragraph 2 shall lapse only with respect to the number of shares of Restricted Stock specified as vested on such date.</w:t>
      </w:r>
    </w:p>
    <w:p>
      <w:pPr>
        <w:spacing w:after="0" w:line="166"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260" w:type="dxa"/>
            <w:vAlign w:val="bottom"/>
          </w:tcPr>
          <w:p>
            <w:pPr>
              <w:spacing w:after="0"/>
              <w:rPr>
                <w:sz w:val="20"/>
                <w:szCs w:val="20"/>
                <w:color w:val="auto"/>
              </w:rPr>
            </w:pPr>
            <w:r>
              <w:rPr>
                <w:rFonts w:ascii="Arial" w:cs="Arial" w:eastAsia="Arial" w:hAnsi="Arial"/>
                <w:sz w:val="14"/>
                <w:szCs w:val="14"/>
                <w:b w:val="1"/>
                <w:bCs w:val="1"/>
                <w:color w:val="auto"/>
              </w:rPr>
              <w:t>Number of</w:t>
            </w:r>
          </w:p>
        </w:tc>
        <w:tc>
          <w:tcPr>
            <w:tcW w:w="3180" w:type="dxa"/>
            <w:vAlign w:val="bottom"/>
            <w:vMerge w:val="restart"/>
          </w:tcPr>
          <w:p>
            <w:pPr>
              <w:ind w:left="2400"/>
              <w:spacing w:after="0"/>
              <w:rPr>
                <w:sz w:val="20"/>
                <w:szCs w:val="20"/>
                <w:color w:val="auto"/>
              </w:rPr>
            </w:pPr>
            <w:r>
              <w:rPr>
                <w:rFonts w:ascii="Arial" w:cs="Arial" w:eastAsia="Arial" w:hAnsi="Arial"/>
                <w:sz w:val="14"/>
                <w:szCs w:val="14"/>
                <w:b w:val="1"/>
                <w:bCs w:val="1"/>
                <w:color w:val="auto"/>
                <w:w w:val="89"/>
              </w:rPr>
              <w:t>Vesting Date</w:t>
            </w: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b w:val="1"/>
                <w:bCs w:val="1"/>
                <w:color w:val="auto"/>
              </w:rPr>
              <w:t>Shares Vested</w:t>
            </w: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187960</wp:posOffset>
            </wp:positionV>
            <wp:extent cx="4382135"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82135" cy="9461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-8890</wp:posOffset>
            </wp:positionV>
            <wp:extent cx="4382135"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8213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Subsequent to such Vesting Date or Dates, the shares of Stock on which all restrictions and conditions have lapsed shall no longer be deemed Restricted Stock. The Administrator may at any time accelerate the vesting schedule specified in this Paragraph 3. Notwithstanding anything herein to the contrary, in the case of a Sale Event, all restrictions and conditions shall lapse and such shares shall automatically become fully vested.</w:t>
      </w:r>
    </w:p>
    <w:p>
      <w:pPr>
        <w:spacing w:after="0" w:line="147"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on shares of Restricted Stock shall be paid currently to the Grantee.</w:t>
      </w:r>
    </w:p>
    <w:p>
      <w:pPr>
        <w:spacing w:after="0" w:line="225" w:lineRule="exact"/>
        <w:rPr>
          <w:rFonts w:ascii="Arial" w:cs="Arial" w:eastAsia="Arial" w:hAnsi="Arial"/>
          <w:sz w:val="18"/>
          <w:szCs w:val="18"/>
          <w:color w:val="auto"/>
        </w:rPr>
      </w:pPr>
    </w:p>
    <w:p>
      <w:pPr>
        <w:ind w:right="300" w:firstLine="656"/>
        <w:spacing w:after="0" w:line="264" w:lineRule="auto"/>
        <w:tabs>
          <w:tab w:leader="none" w:pos="129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1" w:lineRule="exact"/>
        <w:rPr>
          <w:rFonts w:ascii="Arial" w:cs="Arial" w:eastAsia="Arial" w:hAnsi="Arial"/>
          <w:sz w:val="18"/>
          <w:szCs w:val="18"/>
          <w:color w:val="auto"/>
        </w:rPr>
      </w:pPr>
    </w:p>
    <w:p>
      <w:pPr>
        <w:ind w:right="140" w:firstLine="656"/>
        <w:spacing w:after="0" w:line="277" w:lineRule="auto"/>
        <w:tabs>
          <w:tab w:leader="none" w:pos="129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Grantee, is non-assignable and is not transferable in any manner, by operation of law or otherwise, other than by will or the laws of descent and distribution.</w:t>
      </w:r>
    </w:p>
    <w:p>
      <w:pPr>
        <w:spacing w:after="0" w:line="170" w:lineRule="exact"/>
        <w:rPr>
          <w:rFonts w:ascii="Arial" w:cs="Arial" w:eastAsia="Arial" w:hAnsi="Arial"/>
          <w:sz w:val="18"/>
          <w:szCs w:val="18"/>
          <w:color w:val="auto"/>
        </w:rPr>
      </w:pPr>
    </w:p>
    <w:p>
      <w:pPr>
        <w:ind w:right="120" w:firstLine="656"/>
        <w:spacing w:after="0" w:line="257" w:lineRule="auto"/>
        <w:tabs>
          <w:tab w:leader="none" w:pos="129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Optionee may elect to have the minimum required tax withholding obligation satisfied, in whole or in part, by authorizing the Company to withhold from shares of Stock to be issued a number of shares of</w:t>
      </w:r>
    </w:p>
    <w:p>
      <w:pPr>
        <w:sectPr>
          <w:pgSz w:w="11900" w:h="16838" w:orient="portrait"/>
          <w:cols w:equalWidth="0" w:num="1">
            <w:col w:w="11420"/>
          </w:cols>
          <w:pgMar w:left="240" w:top="121" w:right="239" w:bottom="3"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Stock with an aggregate Fair Market Value that would satisfy the minimum withholding amount due..</w:t>
      </w:r>
    </w:p>
    <w:p>
      <w:pPr>
        <w:spacing w:after="0" w:line="225" w:lineRule="exact"/>
        <w:rPr>
          <w:sz w:val="20"/>
          <w:szCs w:val="20"/>
          <w:color w:val="auto"/>
        </w:rPr>
      </w:pPr>
    </w:p>
    <w:p>
      <w:pPr>
        <w:ind w:firstLine="656"/>
        <w:spacing w:after="0" w:line="276" w:lineRule="auto"/>
        <w:tabs>
          <w:tab w:leader="none" w:pos="1296"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Election Under Section 83(b)</w:t>
      </w:r>
      <w:r>
        <w:rPr>
          <w:rFonts w:ascii="Arial" w:cs="Arial" w:eastAsia="Arial" w:hAnsi="Arial"/>
          <w:sz w:val="17"/>
          <w:szCs w:val="17"/>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72" w:lineRule="exact"/>
        <w:rPr>
          <w:rFonts w:ascii="Arial" w:cs="Arial" w:eastAsia="Arial" w:hAnsi="Arial"/>
          <w:sz w:val="17"/>
          <w:szCs w:val="17"/>
          <w:color w:val="auto"/>
        </w:rPr>
      </w:pPr>
    </w:p>
    <w:p>
      <w:pPr>
        <w:ind w:right="200" w:firstLine="656"/>
        <w:spacing w:after="0" w:line="264" w:lineRule="auto"/>
        <w:tabs>
          <w:tab w:leader="none" w:pos="1296"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81" w:lineRule="exact"/>
        <w:rPr>
          <w:rFonts w:ascii="Arial" w:cs="Arial" w:eastAsia="Arial" w:hAnsi="Arial"/>
          <w:sz w:val="18"/>
          <w:szCs w:val="18"/>
          <w:color w:val="auto"/>
        </w:rPr>
      </w:pPr>
    </w:p>
    <w:p>
      <w:pPr>
        <w:ind w:right="540" w:firstLine="656"/>
        <w:spacing w:after="0" w:line="277" w:lineRule="auto"/>
        <w:tabs>
          <w:tab w:leader="none" w:pos="1292"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right="20" w:firstLine="656"/>
        <w:spacing w:after="0" w:line="284" w:lineRule="auto"/>
        <w:tabs>
          <w:tab w:leader="none" w:pos="1285"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w:t>
      </w:r>
    </w:p>
    <w:p>
      <w:pPr>
        <w:spacing w:after="0" w:line="4" w:lineRule="exact"/>
        <w:rPr>
          <w:rFonts w:ascii="Arial" w:cs="Arial" w:eastAsia="Arial" w:hAnsi="Arial"/>
          <w:sz w:val="16"/>
          <w:szCs w:val="16"/>
          <w:color w:val="auto"/>
        </w:rPr>
      </w:pPr>
    </w:p>
    <w:p>
      <w:pPr>
        <w:ind w:right="280" w:firstLine="8"/>
        <w:spacing w:after="0" w:line="290" w:lineRule="auto"/>
        <w:tabs>
          <w:tab w:leader="none" w:pos="30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64" w:lineRule="auto"/>
        <w:tabs>
          <w:tab w:leader="none" w:pos="129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NORTHEAST BANCORP</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67748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Grantee’s name and address: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NORTHEAST BANCORP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OPTION AND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25"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Type of Stock:</w:t>
      </w:r>
      <w:r>
        <w:rPr>
          <w:sz w:val="20"/>
          <w:szCs w:val="20"/>
          <w:color w:val="auto"/>
        </w:rPr>
        <w:tab/>
      </w:r>
      <w:r>
        <w:rPr>
          <w:rFonts w:ascii="Arial" w:cs="Arial" w:eastAsia="Arial" w:hAnsi="Arial"/>
          <w:sz w:val="16"/>
          <w:szCs w:val="16"/>
          <w:color w:val="auto"/>
        </w:rPr>
        <w:t>Voting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Exercise Price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Northeast Bancorp Amended and Restated 2010 Stock Option and Incentive Plan as amended through the date hereof (the “Plan”), Northeast Bancorp (the “Company”) hereby grants to the Optionee named above an option (the “Stock Option”) to purchase on or prior to the Expiration Date specified above all or part of the number of shares of Voting Common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 (the “Code”).</w:t>
      </w:r>
    </w:p>
    <w:p>
      <w:pPr>
        <w:spacing w:after="0" w:line="188" w:lineRule="exact"/>
        <w:rPr>
          <w:sz w:val="20"/>
          <w:szCs w:val="20"/>
          <w:color w:val="auto"/>
        </w:rPr>
      </w:pPr>
    </w:p>
    <w:p>
      <w:pPr>
        <w:ind w:right="80" w:firstLine="656"/>
        <w:spacing w:after="0" w:line="259" w:lineRule="auto"/>
        <w:tabs>
          <w:tab w:leader="none" w:pos="129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remains an employee of the Company or a Subsidiary on such dates: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400" w:type="dxa"/>
            <w:vAlign w:val="bottom"/>
          </w:tcPr>
          <w:p>
            <w:pPr>
              <w:spacing w:after="0"/>
              <w:rPr>
                <w:sz w:val="20"/>
                <w:szCs w:val="20"/>
                <w:color w:val="auto"/>
              </w:rPr>
            </w:pPr>
            <w:r>
              <w:rPr>
                <w:rFonts w:ascii="Arial" w:cs="Arial" w:eastAsia="Arial" w:hAnsi="Arial"/>
                <w:sz w:val="14"/>
                <w:szCs w:val="14"/>
                <w:b w:val="1"/>
                <w:bCs w:val="1"/>
                <w:color w:val="auto"/>
              </w:rPr>
              <w:t>Incremental (Aggregate Number)</w:t>
            </w:r>
          </w:p>
        </w:tc>
        <w:tc>
          <w:tcPr>
            <w:tcW w:w="3500" w:type="dxa"/>
            <w:vAlign w:val="bottom"/>
            <w:vMerge w:val="restart"/>
          </w:tcPr>
          <w:p>
            <w:pPr>
              <w:ind w:left="2340"/>
              <w:spacing w:after="0"/>
              <w:rPr>
                <w:sz w:val="20"/>
                <w:szCs w:val="20"/>
                <w:color w:val="auto"/>
              </w:rPr>
            </w:pPr>
            <w:r>
              <w:rPr>
                <w:rFonts w:ascii="Arial" w:cs="Arial" w:eastAsia="Arial" w:hAnsi="Arial"/>
                <w:sz w:val="14"/>
                <w:szCs w:val="14"/>
                <w:b w:val="1"/>
                <w:bCs w:val="1"/>
                <w:color w:val="auto"/>
                <w:w w:val="91"/>
              </w:rPr>
              <w:t>Exercisability Date</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20"/>
                <w:szCs w:val="20"/>
                <w:color w:val="auto"/>
              </w:rPr>
            </w:pPr>
            <w:r>
              <w:rPr>
                <w:rFonts w:ascii="Arial" w:cs="Arial" w:eastAsia="Arial" w:hAnsi="Arial"/>
                <w:sz w:val="14"/>
                <w:szCs w:val="14"/>
                <w:b w:val="1"/>
                <w:bCs w:val="1"/>
                <w:color w:val="auto"/>
              </w:rPr>
              <w:t>of Option Shares Exercisable</w:t>
            </w:r>
          </w:p>
        </w:tc>
        <w:tc>
          <w:tcPr>
            <w:tcW w:w="3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187960</wp:posOffset>
            </wp:positionV>
            <wp:extent cx="530860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08600" cy="9461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-8890</wp:posOffset>
            </wp:positionV>
            <wp:extent cx="530860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0860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Plan. In the case of and subject to the consummation of a Sale Event, this Stock Option shall vest and become fully exercisable as of the effective time of the Sale Event.</w:t>
      </w:r>
    </w:p>
    <w:p>
      <w:pPr>
        <w:spacing w:after="0" w:line="170"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64" w:lineRule="auto"/>
        <w:tabs>
          <w:tab w:leader="none" w:pos="19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ind w:right="100" w:firstLine="1305"/>
        <w:spacing w:after="0" w:line="257"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issuance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w:t>
      </w:r>
    </w:p>
    <w:p>
      <w:pPr>
        <w:sectPr>
          <w:pgSz w:w="11900" w:h="16838" w:orient="portrait"/>
          <w:cols w:equalWidth="0" w:num="1">
            <w:col w:w="11420"/>
          </w:cols>
          <w:pgMar w:left="240" w:top="121"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40" w:name="page41"/>
    <w:bookmarkEnd w:id="40"/>
    <w:p>
      <w:pPr>
        <w:ind w:right="80"/>
        <w:spacing w:after="0" w:line="264" w:lineRule="auto"/>
        <w:rPr>
          <w:sz w:val="20"/>
          <w:szCs w:val="20"/>
          <w:color w:val="auto"/>
        </w:rPr>
      </w:pPr>
      <w:r>
        <w:rPr>
          <w:rFonts w:ascii="Arial" w:cs="Arial" w:eastAsia="Arial" w:hAnsi="Arial"/>
          <w:sz w:val="18"/>
          <w:szCs w:val="18"/>
          <w:color w:val="auto"/>
        </w:rPr>
        <w:t>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1" w:lineRule="exact"/>
        <w:rPr>
          <w:sz w:val="20"/>
          <w:szCs w:val="20"/>
          <w:color w:val="auto"/>
        </w:rPr>
      </w:pPr>
    </w:p>
    <w:p>
      <w:pPr>
        <w:ind w:right="320" w:firstLine="1305"/>
        <w:spacing w:after="0" w:line="264" w:lineRule="auto"/>
        <w:tabs>
          <w:tab w:leader="none" w:pos="1949"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Notwithstanding any other provision hereof or of the Plan, no portion of this Stock Option shall be exercisable after the Expiration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hereof.</w:t>
      </w:r>
    </w:p>
    <w:p>
      <w:pPr>
        <w:spacing w:after="0" w:line="210" w:lineRule="exact"/>
        <w:rPr>
          <w:rFonts w:ascii="Arial" w:cs="Arial" w:eastAsia="Arial" w:hAnsi="Arial"/>
          <w:sz w:val="16"/>
          <w:szCs w:val="16"/>
          <w:color w:val="auto"/>
        </w:rPr>
      </w:pPr>
    </w:p>
    <w:p>
      <w:pPr>
        <w:ind w:right="60" w:firstLine="656"/>
        <w:spacing w:after="0" w:line="257" w:lineRule="auto"/>
        <w:tabs>
          <w:tab w:leader="none" w:pos="129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Optionee’s employment by the Company or a Subsidiary (as defined in the Plan) is terminated, the exercisability of this Stock Option may be accelerated and the period within which to exercise the Stock Option may be subject to earlier termination as set forth below. The Administrator’s determination of the reason for termination of the Optionee’s employment shall be conclusive and binding on the Optionee and his or her representatives or legatees. Except as set forth below, any portion of this Stock Option that is not exercisable on the date of termination shall terminate immediately and be of no further force or effect.</w:t>
      </w:r>
    </w:p>
    <w:p>
      <w:pPr>
        <w:spacing w:after="0" w:line="188" w:lineRule="exact"/>
        <w:rPr>
          <w:rFonts w:ascii="Arial" w:cs="Arial" w:eastAsia="Arial" w:hAnsi="Arial"/>
          <w:sz w:val="18"/>
          <w:szCs w:val="18"/>
          <w:color w:val="auto"/>
        </w:rPr>
      </w:pPr>
    </w:p>
    <w:p>
      <w:pPr>
        <w:ind w:right="120" w:firstLine="1305"/>
        <w:spacing w:after="0" w:line="259" w:lineRule="auto"/>
        <w:tabs>
          <w:tab w:leader="none" w:pos="1942"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If the Optionee’s employment terminates by reason of the Optionee’s death or disability (as determined by the Administrator), any portion of this Stock Option outstanding on such date shall become fully exercisable and may thereafter be exercised by the Optionee or the Optionee’s legal representative or legatee (as applicable) for a period of 12 months from the date of termination or until the Expiration Date, if earlier.</w:t>
      </w:r>
    </w:p>
    <w:p>
      <w:pPr>
        <w:spacing w:after="0" w:line="186" w:lineRule="exact"/>
        <w:rPr>
          <w:rFonts w:ascii="Arial" w:cs="Arial" w:eastAsia="Arial" w:hAnsi="Arial"/>
          <w:sz w:val="18"/>
          <w:szCs w:val="18"/>
          <w:color w:val="auto"/>
        </w:rPr>
      </w:pPr>
    </w:p>
    <w:p>
      <w:pPr>
        <w:ind w:firstLine="1305"/>
        <w:spacing w:after="0" w:line="253" w:lineRule="auto"/>
        <w:tabs>
          <w:tab w:leader="none" w:pos="1952"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Optionee’s employment terminates for Cause, any portion of this Stock Option outstanding on such date, whether or not exercisable, shall terminate immediately and be of no further force and effect. For purposes hereof, unless otherwise provided in an employment agreement between the Company and the Optionee, “Cause” for termination shall be deemed to exist upon (a) the Optionee’s continued non-performance of the Optionee’s duties to the Company or a Subsidiary (other than by reason of the Optionee’s physical or mental illness, incapacity or disability); (b) the Optionee’s commission of any crime involving moral turpitude or any felony; (c) the Optionee’s violation of any confidentiality, noncompetition or nonsolicitation covenants with respect to the Company or a Subsidiary; (d) the Optionee’s material violation of the Company’s or a Subsidiary’s policies or rules material to the Optionee’s employment; (e) the Optionee’s engagement in deliberate dishonesty with regard to the Company or a Subsidiary or (f) the Optionee’s failure to cooperate with a bona fide internal investigation or an investigation by regulatory or law enforcement authorities, after being instructed by the Company or a Subsidiary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86" w:lineRule="auto"/>
        <w:tabs>
          <w:tab w:leader="none" w:pos="1955" w:val="left"/>
        </w:tabs>
        <w:numPr>
          <w:ilvl w:val="2"/>
          <w:numId w:val="45"/>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w:t>
      </w:r>
    </w:p>
    <w:p>
      <w:pPr>
        <w:spacing w:after="0" w:line="165" w:lineRule="exact"/>
        <w:rPr>
          <w:rFonts w:ascii="Arial" w:cs="Arial" w:eastAsia="Arial" w:hAnsi="Arial"/>
          <w:sz w:val="17"/>
          <w:szCs w:val="17"/>
          <w:color w:val="auto"/>
        </w:rPr>
      </w:pPr>
    </w:p>
    <w:p>
      <w:pPr>
        <w:jc w:val="both"/>
        <w:ind w:right="20" w:firstLine="656"/>
        <w:spacing w:after="0" w:line="264" w:lineRule="auto"/>
        <w:tabs>
          <w:tab w:leader="none" w:pos="129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1" w:lineRule="exact"/>
        <w:rPr>
          <w:rFonts w:ascii="Arial" w:cs="Arial" w:eastAsia="Arial" w:hAnsi="Arial"/>
          <w:sz w:val="18"/>
          <w:szCs w:val="18"/>
          <w:color w:val="auto"/>
        </w:rPr>
      </w:pPr>
    </w:p>
    <w:p>
      <w:pPr>
        <w:ind w:firstLine="656"/>
        <w:spacing w:after="0" w:line="264" w:lineRule="auto"/>
        <w:tabs>
          <w:tab w:leader="none" w:pos="129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1" w:lineRule="exact"/>
        <w:rPr>
          <w:rFonts w:ascii="Arial" w:cs="Arial" w:eastAsia="Arial" w:hAnsi="Arial"/>
          <w:sz w:val="18"/>
          <w:szCs w:val="18"/>
          <w:color w:val="auto"/>
        </w:rPr>
      </w:pPr>
    </w:p>
    <w:p>
      <w:pPr>
        <w:ind w:right="40" w:firstLine="656"/>
        <w:spacing w:after="0" w:line="257" w:lineRule="auto"/>
        <w:tabs>
          <w:tab w:leader="none" w:pos="129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Optionee may elect to have the minimum required tax withholding obligation satisfied, in whole or in part, by authorizing the Company to withhold from shares of Stock to be issued a number of shares of Stock with an aggregate Fair Market Value that would satisfy the minimum withholding amount due.</w:t>
      </w:r>
    </w:p>
    <w:p>
      <w:pPr>
        <w:spacing w:after="0" w:line="188" w:lineRule="exact"/>
        <w:rPr>
          <w:rFonts w:ascii="Arial" w:cs="Arial" w:eastAsia="Arial" w:hAnsi="Arial"/>
          <w:sz w:val="18"/>
          <w:szCs w:val="18"/>
          <w:color w:val="auto"/>
        </w:rPr>
      </w:pPr>
    </w:p>
    <w:p>
      <w:pPr>
        <w:ind w:right="120" w:firstLine="656"/>
        <w:spacing w:after="0" w:line="264" w:lineRule="auto"/>
        <w:tabs>
          <w:tab w:leader="none" w:pos="129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Optionee in employment and neither the Plan nor this Agreement shall interfere in any way with the right of the Company or any Subsidiary to terminate the employment of the Optionee at any time.</w:t>
      </w:r>
    </w:p>
    <w:p>
      <w:pPr>
        <w:spacing w:after="0" w:line="181" w:lineRule="exact"/>
        <w:rPr>
          <w:rFonts w:ascii="Arial" w:cs="Arial" w:eastAsia="Arial" w:hAnsi="Arial"/>
          <w:sz w:val="18"/>
          <w:szCs w:val="18"/>
          <w:color w:val="auto"/>
        </w:rPr>
      </w:pPr>
    </w:p>
    <w:p>
      <w:pPr>
        <w:ind w:right="60" w:firstLine="656"/>
        <w:spacing w:after="0" w:line="277" w:lineRule="auto"/>
        <w:tabs>
          <w:tab w:leader="none" w:pos="129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firstLine="656"/>
        <w:spacing w:after="0" w:line="284" w:lineRule="auto"/>
        <w:tabs>
          <w:tab w:leader="none" w:pos="1296"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authorizes the transfer of the Relevant Information to any jurisdiction in which the Relevant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84" w:right="279" w:bottom="73" w:gutter="0" w:footer="0" w:header="0"/>
        </w:sectPr>
      </w:pPr>
    </w:p>
    <w:bookmarkStart w:id="41" w:name="page42"/>
    <w:bookmarkEnd w:id="41"/>
    <w:p>
      <w:pPr>
        <w:ind w:right="200"/>
        <w:spacing w:after="0" w:line="277" w:lineRule="auto"/>
        <w:rPr>
          <w:sz w:val="20"/>
          <w:szCs w:val="20"/>
          <w:color w:val="auto"/>
        </w:rPr>
      </w:pPr>
      <w:r>
        <w:rPr>
          <w:rFonts w:ascii="Arial" w:cs="Arial" w:eastAsia="Arial" w:hAnsi="Arial"/>
          <w:sz w:val="18"/>
          <w:szCs w:val="18"/>
          <w:color w:val="auto"/>
        </w:rPr>
        <w:t>Companies consider appropriate. The Grantee shall have access to, and the right to change, the Relevant Information. Relevant Information will only be used in accordance with applicable law.</w:t>
      </w:r>
    </w:p>
    <w:p>
      <w:pPr>
        <w:spacing w:after="0" w:line="170" w:lineRule="exact"/>
        <w:rPr>
          <w:sz w:val="20"/>
          <w:szCs w:val="20"/>
          <w:color w:val="auto"/>
        </w:rPr>
      </w:pPr>
    </w:p>
    <w:p>
      <w:pPr>
        <w:ind w:firstLine="656"/>
        <w:spacing w:after="0" w:line="264" w:lineRule="auto"/>
        <w:tabs>
          <w:tab w:leader="none" w:pos="129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NORTHEAST BANCORP</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Optionee’s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67748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Optionee’s name and address: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sectPr>
      </w:pPr>
    </w:p>
    <w:bookmarkStart w:id="42" w:name="page43"/>
    <w:bookmarkEnd w:id="42"/>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0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20" w:hanging="8"/>
        <w:spacing w:after="0" w:line="264" w:lineRule="auto"/>
        <w:tabs>
          <w:tab w:leader="none" w:pos="6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40" w:hanging="8"/>
        <w:spacing w:after="0" w:line="264" w:lineRule="auto"/>
        <w:tabs>
          <w:tab w:leader="none" w:pos="5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160" w:hanging="8"/>
        <w:spacing w:after="0" w:line="308" w:lineRule="auto"/>
        <w:tabs>
          <w:tab w:leader="none" w:pos="63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right="180" w:hanging="8"/>
        <w:spacing w:after="0" w:line="264" w:lineRule="auto"/>
        <w:tabs>
          <w:tab w:leader="none" w:pos="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80" w:hanging="8"/>
        <w:spacing w:after="0" w:line="277" w:lineRule="auto"/>
        <w:tabs>
          <w:tab w:leader="none" w:pos="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20" w:hanging="8"/>
        <w:spacing w:after="0" w:line="277" w:lineRule="auto"/>
        <w:tabs>
          <w:tab w:leader="none" w:pos="6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February 14, 2013</w:t>
            </w:r>
          </w:p>
        </w:tc>
        <w:tc>
          <w:tcPr>
            <w:tcW w:w="2220" w:type="dxa"/>
            <w:vAlign w:val="bottom"/>
          </w:tcPr>
          <w:p>
            <w:pPr>
              <w:spacing w:after="0"/>
              <w:rPr>
                <w:sz w:val="20"/>
                <w:szCs w:val="20"/>
                <w:color w:val="auto"/>
              </w:rPr>
            </w:pPr>
          </w:p>
        </w:tc>
        <w:tc>
          <w:tcPr>
            <w:tcW w:w="5700" w:type="dxa"/>
            <w:vAlign w:val="bottom"/>
            <w:tcBorders>
              <w:bottom w:val="single" w:sz="8" w:color="auto"/>
            </w:tcBorders>
          </w:tcPr>
          <w:p>
            <w:pPr>
              <w:jc w:val="right"/>
              <w:ind w:right="4250"/>
              <w:spacing w:after="0"/>
              <w:rPr>
                <w:sz w:val="20"/>
                <w:szCs w:val="20"/>
                <w:color w:val="auto"/>
              </w:rPr>
            </w:pPr>
            <w:r>
              <w:rPr>
                <w:rFonts w:ascii="Arial" w:cs="Arial" w:eastAsia="Arial" w:hAnsi="Arial"/>
                <w:sz w:val="18"/>
                <w:szCs w:val="18"/>
                <w:color w:val="auto"/>
                <w:w w:val="91"/>
              </w:rPr>
              <w:t>/s/ Richard Wayne</w:t>
            </w:r>
          </w:p>
        </w:tc>
        <w:tc>
          <w:tcPr>
            <w:tcW w:w="40" w:type="dxa"/>
            <w:vAlign w:val="bottom"/>
          </w:tcPr>
          <w:p>
            <w:pPr>
              <w:spacing w:after="0"/>
              <w:rPr>
                <w:sz w:val="20"/>
                <w:szCs w:val="20"/>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jc w:val="right"/>
              <w:ind w:right="425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jc w:val="right"/>
              <w:ind w:right="363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3" w:name="page44"/>
    <w:bookmarkEnd w:id="43"/>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Claire Bean, certify that:</w:t>
      </w:r>
    </w:p>
    <w:p>
      <w:pPr>
        <w:spacing w:after="0" w:line="22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0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20" w:hanging="8"/>
        <w:spacing w:after="0" w:line="264" w:lineRule="auto"/>
        <w:tabs>
          <w:tab w:leader="none" w:pos="6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40" w:hanging="8"/>
        <w:spacing w:after="0" w:line="264" w:lineRule="auto"/>
        <w:tabs>
          <w:tab w:leader="none" w:pos="59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160" w:hanging="8"/>
        <w:spacing w:after="0" w:line="308" w:lineRule="auto"/>
        <w:tabs>
          <w:tab w:leader="none" w:pos="63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right="180" w:hanging="8"/>
        <w:spacing w:after="0" w:line="264" w:lineRule="auto"/>
        <w:tabs>
          <w:tab w:leader="none" w:pos="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80" w:hanging="8"/>
        <w:spacing w:after="0" w:line="277" w:lineRule="auto"/>
        <w:tabs>
          <w:tab w:leader="none" w:pos="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20" w:hanging="8"/>
        <w:spacing w:after="0" w:line="277" w:lineRule="auto"/>
        <w:tabs>
          <w:tab w:leader="none" w:pos="6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February 14, 2013</w:t>
            </w:r>
          </w:p>
        </w:tc>
        <w:tc>
          <w:tcPr>
            <w:tcW w:w="2220" w:type="dxa"/>
            <w:vAlign w:val="bottom"/>
          </w:tcPr>
          <w:p>
            <w:pPr>
              <w:spacing w:after="0"/>
              <w:rPr>
                <w:sz w:val="20"/>
                <w:szCs w:val="20"/>
                <w:color w:val="auto"/>
              </w:rPr>
            </w:pPr>
          </w:p>
        </w:tc>
        <w:tc>
          <w:tcPr>
            <w:tcW w:w="5700" w:type="dxa"/>
            <w:vAlign w:val="bottom"/>
            <w:tcBorders>
              <w:bottom w:val="single" w:sz="8" w:color="auto"/>
            </w:tcBorders>
          </w:tcPr>
          <w:p>
            <w:pPr>
              <w:jc w:val="right"/>
              <w:ind w:right="4310"/>
              <w:spacing w:after="0"/>
              <w:rPr>
                <w:sz w:val="20"/>
                <w:szCs w:val="20"/>
                <w:color w:val="auto"/>
              </w:rPr>
            </w:pPr>
            <w:r>
              <w:rPr>
                <w:rFonts w:ascii="Arial" w:cs="Arial" w:eastAsia="Arial" w:hAnsi="Arial"/>
                <w:sz w:val="18"/>
                <w:szCs w:val="18"/>
                <w:color w:val="auto"/>
                <w:w w:val="91"/>
              </w:rPr>
              <w:t>/s/ Claire S. Bean</w:t>
            </w:r>
          </w:p>
        </w:tc>
        <w:tc>
          <w:tcPr>
            <w:tcW w:w="40" w:type="dxa"/>
            <w:vAlign w:val="bottom"/>
          </w:tcPr>
          <w:p>
            <w:pPr>
              <w:spacing w:after="0"/>
              <w:rPr>
                <w:sz w:val="20"/>
                <w:szCs w:val="20"/>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jc w:val="right"/>
              <w:ind w:right="4310"/>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jc w:val="right"/>
              <w:ind w:right="367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4" w:name="page45"/>
    <w:bookmarkEnd w:id="44"/>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the Chief Executive Officer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December 31, 2012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1" w:lineRule="exact"/>
        <w:rPr>
          <w:sz w:val="20"/>
          <w:szCs w:val="20"/>
          <w:color w:val="auto"/>
        </w:rPr>
      </w:pPr>
    </w:p>
    <w:p>
      <w:pPr>
        <w:ind w:left="560" w:hanging="293"/>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260" w:right="220" w:firstLine="7"/>
        <w:spacing w:after="0" w:line="277" w:lineRule="auto"/>
        <w:tabs>
          <w:tab w:leader="none" w:pos="5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February 14, 2013</w:t>
            </w:r>
          </w:p>
        </w:tc>
        <w:tc>
          <w:tcPr>
            <w:tcW w:w="2220" w:type="dxa"/>
            <w:vAlign w:val="bottom"/>
          </w:tcPr>
          <w:p>
            <w:pPr>
              <w:spacing w:after="0"/>
              <w:rPr>
                <w:sz w:val="20"/>
                <w:szCs w:val="20"/>
                <w:color w:val="auto"/>
              </w:rPr>
            </w:pPr>
          </w:p>
        </w:tc>
        <w:tc>
          <w:tcPr>
            <w:tcW w:w="5700" w:type="dxa"/>
            <w:vAlign w:val="bottom"/>
            <w:tcBorders>
              <w:bottom w:val="single" w:sz="8" w:color="auto"/>
            </w:tcBorders>
          </w:tcPr>
          <w:p>
            <w:pPr>
              <w:jc w:val="right"/>
              <w:ind w:right="4250"/>
              <w:spacing w:after="0"/>
              <w:rPr>
                <w:sz w:val="20"/>
                <w:szCs w:val="20"/>
                <w:color w:val="auto"/>
              </w:rPr>
            </w:pPr>
            <w:r>
              <w:rPr>
                <w:rFonts w:ascii="Arial" w:cs="Arial" w:eastAsia="Arial" w:hAnsi="Arial"/>
                <w:sz w:val="18"/>
                <w:szCs w:val="18"/>
                <w:color w:val="auto"/>
                <w:w w:val="91"/>
              </w:rPr>
              <w:t>/s/ Richard Wayne</w:t>
            </w:r>
          </w:p>
        </w:tc>
        <w:tc>
          <w:tcPr>
            <w:tcW w:w="40" w:type="dxa"/>
            <w:vAlign w:val="bottom"/>
          </w:tcPr>
          <w:p>
            <w:pPr>
              <w:spacing w:after="0"/>
              <w:rPr>
                <w:sz w:val="20"/>
                <w:szCs w:val="20"/>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jc w:val="right"/>
              <w:ind w:right="425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jc w:val="right"/>
              <w:ind w:right="363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5" w:name="page46"/>
    <w:bookmarkEnd w:id="45"/>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the Chief Financial Officer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December 31, 2012 as filed with the Securities and Exchange Commission on the date hereof (the “Report”), I, Claire Bean, as Chief Financial Officer of the Company, hereby certify pursuant to 18 U.S.C. 1350, as adopted pursuant to 906 of the Sarbanes-Oxley Act of 2002, that:</w:t>
      </w:r>
    </w:p>
    <w:p>
      <w:pPr>
        <w:spacing w:after="0" w:line="181" w:lineRule="exact"/>
        <w:rPr>
          <w:sz w:val="20"/>
          <w:szCs w:val="20"/>
          <w:color w:val="auto"/>
        </w:rPr>
      </w:pPr>
    </w:p>
    <w:p>
      <w:pPr>
        <w:ind w:left="560" w:hanging="293"/>
        <w:spacing w:after="0"/>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260" w:right="220" w:firstLine="7"/>
        <w:spacing w:after="0" w:line="277" w:lineRule="auto"/>
        <w:tabs>
          <w:tab w:leader="none" w:pos="5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February 14, 2013</w:t>
            </w:r>
          </w:p>
        </w:tc>
        <w:tc>
          <w:tcPr>
            <w:tcW w:w="2220" w:type="dxa"/>
            <w:vAlign w:val="bottom"/>
          </w:tcPr>
          <w:p>
            <w:pPr>
              <w:spacing w:after="0"/>
              <w:rPr>
                <w:sz w:val="20"/>
                <w:szCs w:val="20"/>
                <w:color w:val="auto"/>
              </w:rPr>
            </w:pPr>
          </w:p>
        </w:tc>
        <w:tc>
          <w:tcPr>
            <w:tcW w:w="5700" w:type="dxa"/>
            <w:vAlign w:val="bottom"/>
            <w:tcBorders>
              <w:bottom w:val="single" w:sz="8" w:color="auto"/>
            </w:tcBorders>
          </w:tcPr>
          <w:p>
            <w:pPr>
              <w:jc w:val="right"/>
              <w:ind w:right="4310"/>
              <w:spacing w:after="0"/>
              <w:rPr>
                <w:sz w:val="20"/>
                <w:szCs w:val="20"/>
                <w:color w:val="auto"/>
              </w:rPr>
            </w:pPr>
            <w:r>
              <w:rPr>
                <w:rFonts w:ascii="Arial" w:cs="Arial" w:eastAsia="Arial" w:hAnsi="Arial"/>
                <w:sz w:val="18"/>
                <w:szCs w:val="18"/>
                <w:color w:val="auto"/>
                <w:w w:val="91"/>
              </w:rPr>
              <w:t>/s/ Claire S. Bean</w:t>
            </w:r>
          </w:p>
        </w:tc>
        <w:tc>
          <w:tcPr>
            <w:tcW w:w="40" w:type="dxa"/>
            <w:vAlign w:val="bottom"/>
          </w:tcPr>
          <w:p>
            <w:pPr>
              <w:spacing w:after="0"/>
              <w:rPr>
                <w:sz w:val="20"/>
                <w:szCs w:val="20"/>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jc w:val="right"/>
              <w:ind w:right="4310"/>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jc w:val="right"/>
              <w:ind w:right="367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2"/>
    </w:lvl>
  </w:abstractNum>
  <w:abstractNum w:abstractNumId="2">
    <w:nsid w:val="71F32454"/>
    <w:multiLevelType w:val="hybridMultilevel"/>
    <w:lvl w:ilvl="0">
      <w:lvlJc w:val="left"/>
      <w:lvlText w:val="%1."/>
      <w:numFmt w:val="decimal"/>
      <w:start w:val="3"/>
    </w:lvl>
  </w:abstractNum>
  <w:abstractNum w:abstractNumId="3">
    <w:nsid w:val="2CA88611"/>
    <w:multiLevelType w:val="hybridMultilevel"/>
    <w:lvl w:ilvl="0">
      <w:lvlJc w:val="left"/>
      <w:lvlText w:val="%1."/>
      <w:numFmt w:val="decimal"/>
      <w:start w:val="4"/>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5"/>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6"/>
    </w:lvl>
  </w:abstractNum>
  <w:abstractNum w:abstractNumId="11">
    <w:nsid w:val="6CEAF087"/>
    <w:multiLevelType w:val="hybridMultilevel"/>
    <w:lvl w:ilvl="0">
      <w:lvlJc w:val="left"/>
      <w:lvlText w:val="%1."/>
      <w:numFmt w:val="decimal"/>
      <w:start w:val="7"/>
    </w:lvl>
  </w:abstractNum>
  <w:abstractNum w:abstractNumId="12">
    <w:nsid w:val="22221A70"/>
    <w:multiLevelType w:val="hybridMultilevel"/>
    <w:lvl w:ilvl="0">
      <w:lvlJc w:val="left"/>
      <w:lvlText w:val="%1."/>
      <w:numFmt w:val="decimal"/>
      <w:start w:val="8"/>
    </w:lvl>
  </w:abstractNum>
  <w:abstractNum w:abstractNumId="13">
    <w:nsid w:val="4516DDE9"/>
    <w:multiLevelType w:val="hybridMultilevel"/>
    <w:lvl w:ilvl="0">
      <w:lvlJc w:val="left"/>
      <w:lvlText w:val="%1."/>
      <w:numFmt w:val="decimal"/>
      <w:start w:val="9"/>
    </w:lvl>
  </w:abstractNum>
  <w:abstractNum w:abstractNumId="14">
    <w:nsid w:val="3006C83E"/>
    <w:multiLevelType w:val="hybridMultilevel"/>
    <w:lvl w:ilvl="0">
      <w:lvlJc w:val="left"/>
      <w:lvlText w:val="%1."/>
      <w:numFmt w:val="decimal"/>
      <w:start w:val="10"/>
    </w:lvl>
  </w:abstractNum>
  <w:abstractNum w:abstractNumId="15">
    <w:nsid w:val="614FD4A1"/>
    <w:multiLevelType w:val="hybridMultilevel"/>
    <w:lvl w:ilvl="0">
      <w:lvlJc w:val="left"/>
      <w:lvlText w:val="%1."/>
      <w:numFmt w:val="decimal"/>
      <w:start w:val="11"/>
    </w:lvl>
  </w:abstractNum>
  <w:abstractNum w:abstractNumId="16">
    <w:nsid w:val="419AC241"/>
    <w:multiLevelType w:val="hybridMultilevel"/>
    <w:lvl w:ilvl="0">
      <w:lvlJc w:val="left"/>
      <w:lvlText w:val="%1."/>
      <w:numFmt w:val="decimal"/>
      <w:start w:val="12"/>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lvl w:ilvl="1">
      <w:lvlJc w:val="left"/>
      <w:lvlText w:val="%2"/>
      <w:numFmt w:val="decimal"/>
      <w:start w:val="101"/>
    </w:lvl>
  </w:abstractNum>
  <w:abstractNum w:abstractNumId="28">
    <w:nsid w:val="580BD78F"/>
    <w:multiLevelType w:val="hybridMultilevel"/>
    <w:lvl w:ilvl="0">
      <w:lvlJc w:val="left"/>
      <w:lvlText w:val="**"/>
      <w:numFmt w:val="bullet"/>
      <w:start w:val="1"/>
    </w:lvl>
    <w:lvl w:ilvl="1">
      <w:lvlJc w:val="left"/>
      <w:lvlText w:val="%2"/>
      <w:numFmt w:val="decimal"/>
      <w:start w:val="1"/>
    </w:lvl>
  </w:abstractNum>
  <w:abstractNum w:abstractNumId="29">
    <w:nsid w:val="153EA438"/>
    <w:multiLevelType w:val="hybridMultilevel"/>
    <w:lvl w:ilvl="0">
      <w:lvlJc w:val="left"/>
      <w:lvlText w:val="***"/>
      <w:numFmt w:val="bullet"/>
      <w:start w:val="1"/>
    </w:lvl>
    <w:lvl w:ilvl="1">
      <w:lvlJc w:val="left"/>
      <w:lvlText w:val="%2"/>
      <w:numFmt w:val="decimal"/>
      <w:start w:val="1"/>
    </w:lvl>
  </w:abstractNum>
  <w:abstractNum w:abstractNumId="30">
    <w:nsid w:val="3855585C"/>
    <w:multiLevelType w:val="hybridMultilevel"/>
    <w:lvl w:ilvl="0">
      <w:lvlJc w:val="left"/>
      <w:lvlText w:val="*"/>
      <w:numFmt w:val="bullet"/>
      <w:start w:val="1"/>
    </w:lvl>
    <w:lvl w:ilvl="1">
      <w:lvlJc w:val="left"/>
      <w:lvlText w:val="%2"/>
      <w:numFmt w:val="decimal"/>
      <w:start w:val="101"/>
    </w:lvl>
  </w:abstractNum>
  <w:abstractNum w:abstractNumId="31">
    <w:nsid w:val="70A64E2A"/>
    <w:multiLevelType w:val="hybridMultilevel"/>
    <w:lvl w:ilvl="0">
      <w:lvlJc w:val="left"/>
      <w:lvlText w:val="**"/>
      <w:numFmt w:val="bullet"/>
      <w:start w:val="1"/>
    </w:lvl>
    <w:lvl w:ilvl="1">
      <w:lvlJc w:val="left"/>
      <w:lvlText w:val="%2"/>
      <w:numFmt w:val="decimal"/>
      <w:start w:val="1"/>
    </w:lvl>
  </w:abstractNum>
  <w:abstractNum w:abstractNumId="32">
    <w:nsid w:val="6A2342EC"/>
    <w:multiLevelType w:val="hybridMultilevel"/>
    <w:lvl w:ilvl="0">
      <w:lvlJc w:val="left"/>
      <w:lvlText w:val="***"/>
      <w:numFmt w:val="bullet"/>
      <w:start w:val="1"/>
    </w:lvl>
    <w:lvl w:ilvl="1">
      <w:lvlJc w:val="left"/>
      <w:lvlText w:val="%2"/>
      <w:numFmt w:val="decimal"/>
      <w:start w:val="1"/>
    </w:lvl>
  </w:abstractNum>
  <w:abstractNum w:abstractNumId="33">
    <w:nsid w:val="2A487CB0"/>
    <w:multiLevelType w:val="hybridMultilevel"/>
    <w:lvl w:ilvl="0">
      <w:lvlJc w:val="left"/>
      <w:lvlText w:val="%1."/>
      <w:numFmt w:val="decimal"/>
      <w:start w:val="1"/>
    </w:lvl>
    <w:lvl w:ilvl="1">
      <w:lvlJc w:val="left"/>
      <w:lvlText w:val="(%2)"/>
      <w:numFmt w:val="lowerLetter"/>
      <w:start w:val="1"/>
    </w:lvl>
  </w:abstractNum>
  <w:abstractNum w:abstractNumId="34">
    <w:nsid w:val="1D4ED43B"/>
    <w:multiLevelType w:val="hybridMultilevel"/>
    <w:lvl w:ilvl="0">
      <w:lvlJc w:val="left"/>
      <w:lvlText w:val="%1."/>
      <w:numFmt w:val="decimal"/>
      <w:start w:val="3"/>
    </w:lvl>
  </w:abstractNum>
  <w:abstractNum w:abstractNumId="35">
    <w:nsid w:val="725A06FB"/>
    <w:multiLevelType w:val="hybridMultilevel"/>
    <w:lvl w:ilvl="0">
      <w:lvlJc w:val="left"/>
      <w:lvlText w:val="%1."/>
      <w:numFmt w:val="decimal"/>
      <w:start w:val="4"/>
    </w:lvl>
  </w:abstractNum>
  <w:abstractNum w:abstractNumId="36">
    <w:nsid w:val="2CD89A32"/>
    <w:multiLevelType w:val="hybridMultilevel"/>
    <w:lvl w:ilvl="0">
      <w:lvlJc w:val="left"/>
      <w:lvlText w:val="%1"/>
      <w:numFmt w:val="lowerRoman"/>
      <w:start w:val="1"/>
    </w:lvl>
    <w:lvl w:ilvl="1">
      <w:lvlJc w:val="left"/>
      <w:lvlText w:val="%2."/>
      <w:numFmt w:val="decimal"/>
      <w:start w:val="8"/>
    </w:lvl>
  </w:abstractNum>
  <w:abstractNum w:abstractNumId="37">
    <w:nsid w:val="57E4CCAF"/>
    <w:multiLevelType w:val="hybridMultilevel"/>
    <w:lvl w:ilvl="0">
      <w:lvlJc w:val="left"/>
      <w:lvlText w:val="(%1)"/>
      <w:numFmt w:val="lowerRoman"/>
      <w:start w:val="4"/>
    </w:lvl>
    <w:lvl w:ilvl="1">
      <w:lvlJc w:val="left"/>
      <w:lvlText w:val="%2"/>
      <w:numFmt w:val="decimal"/>
      <w:start w:val="1"/>
    </w:lvl>
  </w:abstractNum>
  <w:abstractNum w:abstractNumId="38">
    <w:nsid w:val="7A6D8D3C"/>
    <w:multiLevelType w:val="hybridMultilevel"/>
    <w:lvl w:ilvl="0">
      <w:lvlJc w:val="left"/>
      <w:lvlText w:val="%1."/>
      <w:numFmt w:val="decimal"/>
      <w:start w:val="12"/>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2"/>
    </w:lvl>
    <w:lvl w:ilvl="1">
      <w:lvlJc w:val="left"/>
      <w:lvlText w:val="(%2)"/>
      <w:numFmt w:val="lowerLetter"/>
      <w:start w:val="4"/>
    </w:lvl>
  </w:abstractNum>
  <w:abstractNum w:abstractNumId="41">
    <w:nsid w:val="6DE91B18"/>
    <w:multiLevelType w:val="hybridMultilevel"/>
    <w:lvl w:ilvl="0">
      <w:lvlJc w:val="left"/>
      <w:lvlText w:val="(%1)"/>
      <w:numFmt w:val="lowerLetter"/>
      <w:start w:val="5"/>
    </w:lvl>
  </w:abstractNum>
  <w:abstractNum w:abstractNumId="42">
    <w:nsid w:val="38437FDB"/>
    <w:multiLevelType w:val="hybridMultilevel"/>
    <w:lvl w:ilvl="0">
      <w:lvlJc w:val="left"/>
      <w:lvlText w:val="%1"/>
      <w:numFmt w:val="decimal"/>
      <w:start w:val="1"/>
    </w:lvl>
    <w:lvl w:ilvl="1">
      <w:lvlJc w:val="left"/>
      <w:lvlText w:val="(%2)"/>
      <w:numFmt w:val="lowerLetter"/>
      <w:start w:val="6"/>
    </w:lvl>
  </w:abstractNum>
  <w:abstractNum w:abstractNumId="43">
    <w:nsid w:val="7644A45C"/>
    <w:multiLevelType w:val="hybridMultilevel"/>
    <w:lvl w:ilvl="0">
      <w:lvlJc w:val="left"/>
      <w:lvlText w:val="%1."/>
      <w:numFmt w:val="decimal"/>
      <w:start w:val="3"/>
    </w:lvl>
    <w:lvl w:ilvl="1">
      <w:lvlJc w:val="left"/>
      <w:lvlText w:val="(%2)"/>
      <w:numFmt w:val="lowerLetter"/>
      <w:start w:val="1"/>
    </w:lvl>
  </w:abstractNum>
  <w:abstractNum w:abstractNumId="44">
    <w:nsid w:val="32FFF90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45">
    <w:nsid w:val="684A481A"/>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46">
    <w:nsid w:val="579478FE"/>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47">
    <w:nsid w:val="749ABB43"/>
    <w:multiLevelType w:val="hybridMultilevel"/>
    <w:lvl w:ilvl="0">
      <w:lvlJc w:val="left"/>
      <w:lvlText w:val="%1."/>
      <w:numFmt w:val="decimal"/>
      <w:start w:val="10"/>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2019-12-06T00:36:02Z</dcterms:created>
  <dcterms:modified xsi:type="dcterms:W3CDTF">2019-12-06T00:36:02Z</dcterms:modified>
</cp:coreProperties>
</file>