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1" w:lineRule="exact"/>
        <w:rPr>
          <w:sz w:val="24"/>
          <w:szCs w:val="24"/>
          <w:color w:val="auto"/>
        </w:rPr>
      </w:pPr>
    </w:p>
    <w:tbl>
      <w:tblPr>
        <w:tblLayout w:type="fixed"/>
        <w:tblInd w:w="1460" w:type="dxa"/>
        <w:tblCellMar>
          <w:top w:w="0" w:type="dxa"/>
          <w:left w:w="0" w:type="dxa"/>
          <w:bottom w:w="0" w:type="dxa"/>
          <w:right w:w="0" w:type="dxa"/>
        </w:tblCellMar>
      </w:tblPr>
      <w:tr>
        <w:trPr>
          <w:trHeight w:val="231"/>
        </w:trPr>
        <w:tc>
          <w:tcPr>
            <w:tcW w:w="48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3"/>
              </w:rPr>
              <w:t>Maine</w:t>
            </w:r>
          </w:p>
        </w:tc>
        <w:tc>
          <w:tcPr>
            <w:tcW w:w="3680" w:type="dxa"/>
            <w:vAlign w:val="bottom"/>
          </w:tcPr>
          <w:p>
            <w:pPr>
              <w:jc w:val="right"/>
              <w:ind w:right="1571"/>
              <w:spacing w:after="0"/>
              <w:rPr>
                <w:sz w:val="20"/>
                <w:szCs w:val="20"/>
                <w:color w:val="auto"/>
              </w:rPr>
            </w:pPr>
            <w:r>
              <w:rPr>
                <w:rFonts w:ascii="Arial" w:cs="Arial" w:eastAsia="Arial" w:hAnsi="Arial"/>
                <w:sz w:val="18"/>
                <w:szCs w:val="18"/>
                <w:b w:val="1"/>
                <w:bCs w:val="1"/>
                <w:color w:val="auto"/>
              </w:rPr>
              <w:t>01-0425066</w:t>
            </w:r>
          </w:p>
        </w:tc>
      </w:tr>
      <w:tr>
        <w:trPr>
          <w:trHeight w:val="190"/>
        </w:trPr>
        <w:tc>
          <w:tcPr>
            <w:tcW w:w="4180" w:type="dxa"/>
            <w:vAlign w:val="bottom"/>
            <w:tcBorders>
              <w:top w:val="single" w:sz="8" w:color="auto"/>
            </w:tcBorders>
            <w:gridSpan w:val="2"/>
          </w:tcPr>
          <w:p>
            <w:pPr>
              <w:jc w:val="center"/>
              <w:ind w:right="20"/>
              <w:spacing w:after="0" w:line="190" w:lineRule="exact"/>
              <w:rPr>
                <w:sz w:val="20"/>
                <w:szCs w:val="20"/>
                <w:color w:val="auto"/>
              </w:rPr>
            </w:pPr>
            <w:r>
              <w:rPr>
                <w:rFonts w:ascii="Arial" w:cs="Arial" w:eastAsia="Arial" w:hAnsi="Arial"/>
                <w:sz w:val="18"/>
                <w:szCs w:val="18"/>
                <w:b w:val="1"/>
                <w:bCs w:val="1"/>
                <w:color w:val="auto"/>
                <w:w w:val="90"/>
              </w:rPr>
              <w:t>(State or other jurisdiction of incorporation or</w:t>
            </w:r>
          </w:p>
        </w:tc>
        <w:tc>
          <w:tcPr>
            <w:tcW w:w="1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tcPr>
          <w:p>
            <w:pPr>
              <w:jc w:val="center"/>
              <w:ind w:right="391"/>
              <w:spacing w:after="0" w:line="190" w:lineRule="exact"/>
              <w:rPr>
                <w:sz w:val="20"/>
                <w:szCs w:val="20"/>
                <w:color w:val="auto"/>
              </w:rPr>
            </w:pPr>
            <w:r>
              <w:rPr>
                <w:rFonts w:ascii="Arial" w:cs="Arial" w:eastAsia="Arial" w:hAnsi="Arial"/>
                <w:sz w:val="18"/>
                <w:szCs w:val="18"/>
                <w:b w:val="1"/>
                <w:bCs w:val="1"/>
                <w:color w:val="auto"/>
                <w:w w:val="92"/>
              </w:rPr>
              <w:t>(I.R.S. Employer Identification No.)</w:t>
            </w:r>
          </w:p>
        </w:tc>
      </w:tr>
      <w:tr>
        <w:trPr>
          <w:trHeight w:val="231"/>
        </w:trPr>
        <w:tc>
          <w:tcPr>
            <w:tcW w:w="482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0"/>
              </w:rPr>
              <w:t>organization)</w:t>
            </w:r>
          </w:p>
        </w:tc>
        <w:tc>
          <w:tcPr>
            <w:tcW w:w="3680" w:type="dxa"/>
            <w:vAlign w:val="bottom"/>
          </w:tcPr>
          <w:p>
            <w:pPr>
              <w:spacing w:after="0"/>
              <w:rPr>
                <w:sz w:val="20"/>
                <w:szCs w:val="20"/>
                <w:color w:val="auto"/>
              </w:rPr>
            </w:pPr>
          </w:p>
        </w:tc>
      </w:tr>
      <w:tr>
        <w:trPr>
          <w:trHeight w:val="428"/>
        </w:trPr>
        <w:tc>
          <w:tcPr>
            <w:tcW w:w="482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0"/>
              </w:rPr>
              <w:t>500 Canal Street, Lewiston, Maine</w:t>
            </w:r>
          </w:p>
        </w:tc>
        <w:tc>
          <w:tcPr>
            <w:tcW w:w="3680" w:type="dxa"/>
            <w:vAlign w:val="bottom"/>
          </w:tcPr>
          <w:p>
            <w:pPr>
              <w:jc w:val="right"/>
              <w:ind w:right="1771"/>
              <w:spacing w:after="0"/>
              <w:rPr>
                <w:sz w:val="20"/>
                <w:szCs w:val="20"/>
                <w:color w:val="auto"/>
              </w:rPr>
            </w:pPr>
            <w:r>
              <w:rPr>
                <w:rFonts w:ascii="Arial" w:cs="Arial" w:eastAsia="Arial" w:hAnsi="Arial"/>
                <w:sz w:val="18"/>
                <w:szCs w:val="18"/>
                <w:b w:val="1"/>
                <w:bCs w:val="1"/>
                <w:color w:val="auto"/>
              </w:rPr>
              <w:t>04240</w:t>
            </w:r>
          </w:p>
        </w:tc>
      </w:tr>
      <w:tr>
        <w:trPr>
          <w:trHeight w:val="226"/>
        </w:trPr>
        <w:tc>
          <w:tcPr>
            <w:tcW w:w="41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(Address of Principal executive offices)</w:t>
            </w: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tcPr>
          <w:p>
            <w:pPr>
              <w:jc w:val="center"/>
              <w:ind w:right="391"/>
              <w:spacing w:after="0"/>
              <w:rPr>
                <w:sz w:val="20"/>
                <w:szCs w:val="20"/>
                <w:color w:val="auto"/>
              </w:rPr>
            </w:pPr>
            <w:r>
              <w:rPr>
                <w:rFonts w:ascii="Arial" w:cs="Arial" w:eastAsia="Arial" w:hAnsi="Arial"/>
                <w:sz w:val="18"/>
                <w:szCs w:val="18"/>
                <w:b w:val="1"/>
                <w:bCs w:val="1"/>
                <w:color w:val="auto"/>
                <w:w w:val="94"/>
              </w:rPr>
              <w:t>(Zip Code)</w:t>
            </w:r>
          </w:p>
        </w:tc>
      </w:tr>
      <w:tr>
        <w:trPr>
          <w:trHeight w:val="371"/>
        </w:trPr>
        <w:tc>
          <w:tcPr>
            <w:tcW w:w="48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(207) 786-3245</w:t>
            </w:r>
          </w:p>
        </w:tc>
        <w:tc>
          <w:tcPr>
            <w:tcW w:w="3680" w:type="dxa"/>
            <w:vAlign w:val="bottom"/>
          </w:tcPr>
          <w:p>
            <w:pPr>
              <w:spacing w:after="0"/>
              <w:rPr>
                <w:sz w:val="24"/>
                <w:szCs w:val="24"/>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3" w:lineRule="exact"/>
        <w:rPr>
          <w:sz w:val="24"/>
          <w:szCs w:val="24"/>
          <w:color w:val="auto"/>
        </w:rPr>
      </w:pPr>
    </w:p>
    <w:p>
      <w:pPr>
        <w:jc w:val="both"/>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3" w:lineRule="exact"/>
        <w:rPr>
          <w:sz w:val="24"/>
          <w:szCs w:val="24"/>
          <w:color w:val="auto"/>
        </w:rPr>
      </w:pPr>
    </w:p>
    <w:p>
      <w:pPr>
        <w:ind w:right="520"/>
        <w:spacing w:after="0" w:line="28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207" w:lineRule="exact"/>
        <w:rPr>
          <w:sz w:val="20"/>
          <w:szCs w:val="20"/>
          <w:color w:val="auto"/>
        </w:rPr>
      </w:pPr>
      <w:r>
        <w:rPr>
          <w:rFonts w:ascii="Arial" w:cs="Arial" w:eastAsia="Arial" w:hAnsi="Arial"/>
          <w:sz w:val="18"/>
          <w:szCs w:val="18"/>
          <w:color w:val="auto"/>
        </w:rPr>
        <w:t xml:space="preserve">Large accelerated filer __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__ Smaller Reporting Company __</w:t>
      </w:r>
    </w:p>
    <w:p>
      <w:pPr>
        <w:spacing w:after="0" w:line="17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3" w:lineRule="exact"/>
        <w:rPr>
          <w:sz w:val="24"/>
          <w:szCs w:val="24"/>
          <w:color w:val="auto"/>
        </w:rPr>
      </w:pPr>
    </w:p>
    <w:p>
      <w:pPr>
        <w:ind w:right="14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22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1"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5, 2017, the registrant had outstanding 7,830,460 shares of voting common stock, $1.00 par value per share and 991,194 shares of non-voting common stock, $1.00 par value per share</w:t>
      </w: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 w:name="page2"/>
    <w:bookmarkEnd w:id="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24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700" w:type="dxa"/>
            <w:vAlign w:val="bottom"/>
          </w:tcPr>
          <w:p>
            <w:pPr>
              <w:spacing w:after="0"/>
              <w:rPr>
                <w:sz w:val="16"/>
                <w:szCs w:val="16"/>
                <w:color w:val="auto"/>
              </w:rPr>
            </w:pPr>
          </w:p>
        </w:tc>
        <w:tc>
          <w:tcPr>
            <w:tcW w:w="800" w:type="dxa"/>
            <w:vAlign w:val="bottom"/>
          </w:tcPr>
          <w:p>
            <w:pPr>
              <w:spacing w:after="0" w:line="194" w:lineRule="exact"/>
              <w:rPr>
                <w:sz w:val="20"/>
                <w:szCs w:val="20"/>
                <w:color w:val="auto"/>
              </w:rPr>
            </w:pPr>
            <w:r>
              <w:rPr>
                <w:rFonts w:ascii="Arial" w:cs="Arial" w:eastAsia="Arial" w:hAnsi="Arial"/>
                <w:sz w:val="18"/>
                <w:szCs w:val="18"/>
                <w:b w:val="1"/>
                <w:bCs w:val="1"/>
                <w:color w:val="auto"/>
              </w:rPr>
              <w:t>Item 1.</w:t>
            </w:r>
          </w:p>
        </w:tc>
        <w:tc>
          <w:tcPr>
            <w:tcW w:w="2540" w:type="dxa"/>
            <w:vAlign w:val="bottom"/>
            <w:tcBorders>
              <w:bottom w:val="single" w:sz="8" w:color="0000EE"/>
            </w:tcBorders>
            <w:gridSpan w:val="12"/>
          </w:tcPr>
          <w:p>
            <w:pPr>
              <w:spacing w:after="0" w:line="194" w:lineRule="exact"/>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Financial Statements (unaudited)</w:t>
              </w:r>
            </w:hyperlink>
          </w:p>
        </w:tc>
        <w:tc>
          <w:tcPr>
            <w:tcW w:w="6900" w:type="dxa"/>
            <w:vAlign w:val="bottom"/>
            <w:gridSpan w:val="9"/>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8"/>
                <w:szCs w:val="18"/>
                <w:color w:val="auto"/>
              </w:rPr>
              <w:t>3</w:t>
            </w:r>
          </w:p>
        </w:tc>
      </w:tr>
      <w:tr>
        <w:trPr>
          <w:trHeight w:val="194"/>
        </w:trPr>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20" w:type="dxa"/>
            <w:vAlign w:val="bottom"/>
            <w:tcBorders>
              <w:bottom w:val="single" w:sz="8" w:color="0000EE"/>
            </w:tcBorders>
            <w:gridSpan w:val="15"/>
          </w:tcPr>
          <w:p>
            <w:pPr>
              <w:spacing w:after="0" w:line="194" w:lineRule="exact"/>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Consolidated Balance Sheets March 31, 2017 and June 30, 2016</w:t>
              </w:r>
            </w:hyperlink>
          </w:p>
        </w:tc>
        <w:tc>
          <w:tcPr>
            <w:tcW w:w="4620" w:type="dxa"/>
            <w:vAlign w:val="bottom"/>
            <w:gridSpan w:val="6"/>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8"/>
                <w:szCs w:val="18"/>
                <w:color w:val="auto"/>
              </w:rPr>
              <w:t>3</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Consolidated Statements of Income Three Months Ended March 31, 2017 and 2016 Nine Months Ended March 31, 2017</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4"/>
        </w:trPr>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and 2016</w:t>
              </w:r>
            </w:hyperlink>
          </w:p>
        </w:tc>
        <w:tc>
          <w:tcPr>
            <w:tcW w:w="8440" w:type="dxa"/>
            <w:vAlign w:val="bottom"/>
            <w:tcBorders>
              <w:top w:val="single" w:sz="8" w:color="0000EE"/>
            </w:tcBorders>
            <w:gridSpan w:val="17"/>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b w:val="1"/>
                <w:bCs w:val="1"/>
                <w:color w:val="0000EE"/>
                <w:w w:val="92"/>
              </w:rPr>
            </w:pPr>
            <w:hyperlink w:anchor="page6">
              <w:r>
                <w:rPr>
                  <w:rFonts w:ascii="Arial" w:cs="Arial" w:eastAsia="Arial" w:hAnsi="Arial"/>
                  <w:sz w:val="18"/>
                  <w:szCs w:val="18"/>
                  <w:b w:val="1"/>
                  <w:bCs w:val="1"/>
                  <w:color w:val="0000EE"/>
                  <w:w w:val="92"/>
                </w:rPr>
                <w:t>Consolidated Statements of Comprehensive Income Three Months Ended March 31, 2017 and 2016 Nine Months Ended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4"/>
        </w:trPr>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92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March 31, 2017 and 2016</w:t>
              </w:r>
            </w:hyperlink>
          </w:p>
        </w:tc>
        <w:tc>
          <w:tcPr>
            <w:tcW w:w="7020" w:type="dxa"/>
            <w:vAlign w:val="bottom"/>
            <w:tcBorders>
              <w:top w:val="single" w:sz="8" w:color="0000EE"/>
            </w:tcBorders>
            <w:gridSpan w:val="9"/>
          </w:tcPr>
          <w:p>
            <w:pPr>
              <w:spacing w:after="0"/>
              <w:rPr>
                <w:sz w:val="16"/>
                <w:szCs w:val="16"/>
                <w:color w:val="auto"/>
              </w:rPr>
            </w:pPr>
          </w:p>
        </w:tc>
        <w:tc>
          <w:tcPr>
            <w:tcW w:w="34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6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Statements of Changes in Shareholders' Equity Nine Months Ended March 31, 2017 and 2016</w:t>
              </w:r>
            </w:hyperlink>
          </w:p>
        </w:tc>
        <w:tc>
          <w:tcPr>
            <w:tcW w:w="128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Consolidated Statements of Cash Flows Nine Months Ended March 31, 2017 and 2016</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2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Consolidated Financial Statements</w:t>
              </w:r>
            </w:hyperlink>
          </w:p>
        </w:tc>
        <w:tc>
          <w:tcPr>
            <w:tcW w:w="29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0"/>
              </w:rPr>
            </w:pPr>
            <w:hyperlink w:anchor="page50">
              <w:r>
                <w:rPr>
                  <w:rFonts w:ascii="Arial" w:cs="Arial" w:eastAsia="Arial" w:hAnsi="Arial"/>
                  <w:sz w:val="18"/>
                  <w:szCs w:val="18"/>
                  <w:b w:val="1"/>
                  <w:bCs w:val="1"/>
                  <w:color w:val="0000EE"/>
                  <w:w w:val="90"/>
                </w:rPr>
                <w:t>Quantitative and Qualitative Disclosure about Market Risk</w:t>
              </w:r>
            </w:hyperlink>
          </w:p>
        </w:tc>
        <w:tc>
          <w:tcPr>
            <w:tcW w:w="2240" w:type="dxa"/>
            <w:vAlign w:val="bottom"/>
            <w:tcBorders>
              <w:top w:val="single" w:sz="8" w:color="0000EE"/>
            </w:tcBorders>
            <w:gridSpan w:val="3"/>
          </w:tcPr>
          <w:p>
            <w:pPr>
              <w:spacing w:after="0"/>
              <w:rPr>
                <w:sz w:val="24"/>
                <w:szCs w:val="24"/>
                <w:color w:val="auto"/>
              </w:rPr>
            </w:pPr>
          </w:p>
        </w:tc>
        <w:tc>
          <w:tcPr>
            <w:tcW w:w="268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51">
              <w:r>
                <w:rPr>
                  <w:rFonts w:ascii="Arial" w:cs="Arial" w:eastAsia="Arial" w:hAnsi="Arial"/>
                  <w:sz w:val="18"/>
                  <w:szCs w:val="18"/>
                  <w:b w:val="1"/>
                  <w:bCs w:val="1"/>
                  <w:color w:val="0000EE"/>
                  <w:w w:val="87"/>
                </w:rPr>
                <w:t>Controls and Procedures</w:t>
              </w:r>
            </w:hyperlink>
          </w:p>
        </w:tc>
        <w:tc>
          <w:tcPr>
            <w:tcW w:w="75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08"/>
        </w:trPr>
        <w:tc>
          <w:tcPr>
            <w:tcW w:w="7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bottom w:val="single" w:sz="8" w:color="0000EE"/>
            </w:tcBorders>
            <w:gridSpan w:val="3"/>
          </w:tcPr>
          <w:p>
            <w:pPr>
              <w:spacing w:after="0"/>
              <w:rPr>
                <w:rFonts w:ascii="Arial" w:cs="Arial" w:eastAsia="Arial" w:hAnsi="Arial"/>
                <w:sz w:val="18"/>
                <w:szCs w:val="18"/>
                <w:b w:val="1"/>
                <w:bCs w:val="1"/>
                <w:color w:val="0000EE"/>
                <w:w w:val="93"/>
              </w:rPr>
            </w:pPr>
            <w:hyperlink w:anchor="page52">
              <w:r>
                <w:rPr>
                  <w:rFonts w:ascii="Arial" w:cs="Arial" w:eastAsia="Arial" w:hAnsi="Arial"/>
                  <w:sz w:val="18"/>
                  <w:szCs w:val="18"/>
                  <w:b w:val="1"/>
                  <w:bCs w:val="1"/>
                  <w:color w:val="0000EE"/>
                  <w:w w:val="93"/>
                </w:rPr>
                <w:t>Other Information</w:t>
              </w:r>
            </w:hyperlink>
          </w:p>
        </w:tc>
        <w:tc>
          <w:tcPr>
            <w:tcW w:w="8800" w:type="dxa"/>
            <w:vAlign w:val="bottom"/>
            <w:gridSpan w:val="19"/>
          </w:tcPr>
          <w:p>
            <w:pPr>
              <w:spacing w:after="0"/>
              <w:rPr>
                <w:sz w:val="24"/>
                <w:szCs w:val="24"/>
                <w:color w:val="auto"/>
              </w:rPr>
            </w:pPr>
          </w:p>
        </w:tc>
        <w:tc>
          <w:tcPr>
            <w:tcW w:w="520" w:type="dxa"/>
            <w:vAlign w:val="bottom"/>
          </w:tcPr>
          <w:p>
            <w:pPr>
              <w:spacing w:after="0"/>
              <w:rPr>
                <w:sz w:val="24"/>
                <w:szCs w:val="24"/>
                <w:color w:val="auto"/>
              </w:rPr>
            </w:pP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52">
              <w:r>
                <w:rPr>
                  <w:rFonts w:ascii="Arial" w:cs="Arial" w:eastAsia="Arial" w:hAnsi="Arial"/>
                  <w:sz w:val="18"/>
                  <w:szCs w:val="18"/>
                  <w:b w:val="1"/>
                  <w:bCs w:val="1"/>
                  <w:color w:val="0000EE"/>
                  <w:w w:val="86"/>
                </w:rPr>
                <w:t>Legal Proceedings</w:t>
              </w:r>
            </w:hyperlink>
          </w:p>
        </w:tc>
        <w:tc>
          <w:tcPr>
            <w:tcW w:w="804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440" w:type="dxa"/>
            <w:vAlign w:val="bottom"/>
            <w:gridSpan w:val="21"/>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Defaults Upon Senior Securities</w:t>
              </w:r>
            </w:hyperlink>
          </w:p>
        </w:tc>
        <w:tc>
          <w:tcPr>
            <w:tcW w:w="49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2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Mine Safety Disclosures</w:t>
              </w:r>
            </w:hyperlink>
          </w:p>
        </w:tc>
        <w:tc>
          <w:tcPr>
            <w:tcW w:w="70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3"/>
              </w:rPr>
            </w:pPr>
            <w:hyperlink w:anchor="page52">
              <w:r>
                <w:rPr>
                  <w:rFonts w:ascii="Arial" w:cs="Arial" w:eastAsia="Arial" w:hAnsi="Arial"/>
                  <w:sz w:val="18"/>
                  <w:szCs w:val="18"/>
                  <w:b w:val="1"/>
                  <w:bCs w:val="1"/>
                  <w:color w:val="0000EE"/>
                  <w:w w:val="93"/>
                </w:rPr>
                <w:t>Other Information</w:t>
              </w:r>
            </w:hyperlink>
          </w:p>
        </w:tc>
        <w:tc>
          <w:tcPr>
            <w:tcW w:w="380" w:type="dxa"/>
            <w:vAlign w:val="bottom"/>
            <w:tcBorders>
              <w:top w:val="single" w:sz="8" w:color="0000EE"/>
            </w:tcBorders>
          </w:tcPr>
          <w:p>
            <w:pPr>
              <w:spacing w:after="0"/>
              <w:rPr>
                <w:sz w:val="24"/>
                <w:szCs w:val="24"/>
                <w:color w:val="auto"/>
              </w:rPr>
            </w:pPr>
          </w:p>
        </w:tc>
        <w:tc>
          <w:tcPr>
            <w:tcW w:w="76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8"/>
        </w:trPr>
        <w:tc>
          <w:tcPr>
            <w:tcW w:w="7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Exhibits</w:t>
              </w:r>
            </w:hyperlink>
          </w:p>
        </w:tc>
        <w:tc>
          <w:tcPr>
            <w:tcW w:w="8800" w:type="dxa"/>
            <w:vAlign w:val="bottom"/>
            <w:gridSpan w:val="1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687"/>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14"/>
          </w:tcPr>
          <w:p>
            <w:pPr>
              <w:ind w:left="4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05"/>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60"/>
        </w:trPr>
        <w:tc>
          <w:tcPr>
            <w:tcW w:w="7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20" w:type="dxa"/>
            <w:vAlign w:val="bottom"/>
          </w:tcPr>
          <w:p>
            <w:pPr>
              <w:spacing w:after="0"/>
              <w:rPr>
                <w:sz w:val="20"/>
                <w:szCs w:val="20"/>
                <w:color w:val="auto"/>
              </w:rPr>
            </w:pPr>
            <w:r>
              <w:rPr>
                <w:rFonts w:ascii="Arial" w:cs="Arial" w:eastAsia="Arial" w:hAnsi="Arial"/>
                <w:sz w:val="18"/>
                <w:szCs w:val="18"/>
                <w:color w:val="auto"/>
              </w:rPr>
              <w:t>Item 1. Financial Statements (Unaudited)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8120" w:type="dxa"/>
            <w:vAlign w:val="bottom"/>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12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8120" w:type="dxa"/>
            <w:vAlign w:val="bottom"/>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1"/>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March 31, 2017</w:t>
            </w: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2016</w:t>
            </w:r>
          </w:p>
        </w:tc>
      </w:tr>
      <w:tr>
        <w:trPr>
          <w:trHeight w:val="209"/>
        </w:trPr>
        <w:tc>
          <w:tcPr>
            <w:tcW w:w="812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1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147,442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151,157</w:t>
            </w:r>
          </w:p>
        </w:tc>
      </w:tr>
      <w:tr>
        <w:trPr>
          <w:trHeight w:val="214"/>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r>
      <w:tr>
        <w:trPr>
          <w:trHeight w:val="214"/>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100,572</w:t>
            </w:r>
          </w:p>
        </w:tc>
      </w:tr>
      <w:tr>
        <w:trPr>
          <w:trHeight w:val="214"/>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r>
      <w:tr>
        <w:trPr>
          <w:trHeight w:val="207"/>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426,568</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113,962</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145,956</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r>
      <w:tr>
        <w:trPr>
          <w:trHeight w:val="207"/>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741,728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r>
      <w:tr>
        <w:trPr>
          <w:trHeight w:val="207"/>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690,086</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4"/>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7,801</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15,725</w:t>
            </w:r>
          </w:p>
        </w:tc>
      </w:tr>
      <w:tr>
        <w:trPr>
          <w:trHeight w:val="21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1,027,046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986,153</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8120" w:type="dxa"/>
            <w:vAlign w:val="bottom"/>
          </w:tcPr>
          <w:p>
            <w:pPr>
              <w:ind w:left="272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Demand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72,369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66,686</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107,218</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347,658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275,437</w:t>
            </w:r>
          </w:p>
        </w:tc>
      </w:tr>
      <w:tr>
        <w:trPr>
          <w:trHeight w:val="214"/>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320,945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849,479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800,432</w:t>
            </w:r>
          </w:p>
        </w:tc>
      </w:tr>
      <w:tr>
        <w:trPr>
          <w:trHeight w:val="214"/>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30,075</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23,331</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1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908,371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869,562</w:t>
            </w:r>
          </w:p>
        </w:tc>
        <w:tc>
          <w:tcPr>
            <w:tcW w:w="100" w:type="dxa"/>
            <w:vAlign w:val="bottom"/>
          </w:tcPr>
          <w:p>
            <w:pPr>
              <w:spacing w:after="0"/>
              <w:rPr>
                <w:sz w:val="18"/>
                <w:szCs w:val="18"/>
                <w:color w:val="auto"/>
              </w:rPr>
            </w:pPr>
          </w:p>
        </w:tc>
      </w:tr>
      <w:tr>
        <w:trPr>
          <w:trHeight w:val="207"/>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8120" w:type="dxa"/>
            <w:vAlign w:val="bottom"/>
          </w:tcPr>
          <w:p>
            <w:pPr>
              <w:spacing w:after="0" w:line="200" w:lineRule="exact"/>
              <w:rPr>
                <w:sz w:val="20"/>
                <w:szCs w:val="20"/>
                <w:color w:val="auto"/>
              </w:rPr>
            </w:pPr>
            <w:r>
              <w:rPr>
                <w:rFonts w:ascii="Arial" w:cs="Arial" w:eastAsia="Arial" w:hAnsi="Arial"/>
                <w:sz w:val="18"/>
                <w:szCs w:val="18"/>
                <w:color w:val="auto"/>
                <w:w w:val="92"/>
              </w:rPr>
              <w:t>Preferred stock, $1.00 par value, 1,000,000 shares authorized; no shares issued and outstanding at March 31,</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120" w:type="dxa"/>
            <w:vAlign w:val="bottom"/>
          </w:tcPr>
          <w:p>
            <w:pPr>
              <w:ind w:left="160"/>
              <w:spacing w:after="0"/>
              <w:rPr>
                <w:sz w:val="20"/>
                <w:szCs w:val="20"/>
                <w:color w:val="auto"/>
              </w:rPr>
            </w:pPr>
            <w:r>
              <w:rPr>
                <w:rFonts w:ascii="Arial" w:cs="Arial" w:eastAsia="Arial" w:hAnsi="Arial"/>
                <w:sz w:val="18"/>
                <w:szCs w:val="18"/>
                <w:color w:val="auto"/>
              </w:rPr>
              <w:t>2017 and June 30, 2016</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0"/>
        </w:trPr>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Voting common stock, $1.00 par value, 25,000,000 shares authorized; 7,824,085 and 8,089,790 shares issued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at March 31, 2017 and June 30, 2016, respectively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8,089</w:t>
            </w:r>
          </w:p>
        </w:tc>
      </w:tr>
      <w:tr>
        <w:trPr>
          <w:trHeight w:val="199"/>
        </w:trPr>
        <w:tc>
          <w:tcPr>
            <w:tcW w:w="8120" w:type="dxa"/>
            <w:vAlign w:val="bottom"/>
          </w:tcPr>
          <w:p>
            <w:pPr>
              <w:spacing w:after="0" w:line="200" w:lineRule="exact"/>
              <w:rPr>
                <w:sz w:val="20"/>
                <w:szCs w:val="20"/>
                <w:color w:val="auto"/>
              </w:rPr>
            </w:pPr>
            <w:r>
              <w:rPr>
                <w:rFonts w:ascii="Arial" w:cs="Arial" w:eastAsia="Arial" w:hAnsi="Arial"/>
                <w:sz w:val="18"/>
                <w:szCs w:val="18"/>
                <w:color w:val="auto"/>
                <w:w w:val="90"/>
              </w:rPr>
              <w:t>Non-voting common stock, $1.00 par value, 3,000,000 shares authorized; 991,194 and 1,227,683 shares issued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120" w:type="dxa"/>
            <w:vAlign w:val="bottom"/>
          </w:tcPr>
          <w:p>
            <w:pPr>
              <w:ind w:left="160"/>
              <w:spacing w:after="0"/>
              <w:rPr>
                <w:sz w:val="20"/>
                <w:szCs w:val="20"/>
                <w:color w:val="auto"/>
              </w:rPr>
            </w:pPr>
            <w:r>
              <w:rPr>
                <w:rFonts w:ascii="Arial" w:cs="Arial" w:eastAsia="Arial" w:hAnsi="Arial"/>
                <w:sz w:val="18"/>
                <w:szCs w:val="18"/>
                <w:color w:val="auto"/>
              </w:rPr>
              <w:t>and outstanding at March 31, 2017 and June 30, 2016, respectively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83,020</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26,160</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w:t>
            </w:r>
          </w:p>
        </w:tc>
      </w:tr>
      <w:tr>
        <w:trPr>
          <w:trHeight w:val="207"/>
        </w:trPr>
        <w:tc>
          <w:tcPr>
            <w:tcW w:w="81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118,675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Borders>
              <w:top w:val="single" w:sz="8" w:color="CCEEFF"/>
            </w:tcBorders>
          </w:tcPr>
          <w:p>
            <w:pPr>
              <w:spacing w:after="0"/>
              <w:rPr>
                <w:sz w:val="18"/>
                <w:szCs w:val="18"/>
                <w:color w:val="auto"/>
              </w:rPr>
            </w:pPr>
          </w:p>
        </w:tc>
      </w:tr>
      <w:tr>
        <w:trPr>
          <w:trHeight w:val="247"/>
        </w:trPr>
        <w:tc>
          <w:tcPr>
            <w:tcW w:w="8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86360</wp:posOffset>
            </wp:positionV>
            <wp:extent cx="726948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4" w:name="page5"/>
    <w:bookmarkEnd w:id="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jc w:val="right"/>
              <w:ind w:right="28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color w:val="auto"/>
                <w:w w:val="91"/>
              </w:rPr>
              <w:t>Nine Months Ended March 31,</w:t>
            </w: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14,417</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40,132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33,413</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07"/>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14"/>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18"/>
                <w:szCs w:val="18"/>
                <w:color w:val="auto"/>
              </w:rPr>
            </w:pPr>
          </w:p>
        </w:tc>
      </w:tr>
      <w:tr>
        <w:trPr>
          <w:trHeight w:val="207"/>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4"/>
        </w:trPr>
        <w:tc>
          <w:tcPr>
            <w:tcW w:w="598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28,669</w:t>
            </w:r>
          </w:p>
        </w:tc>
      </w:tr>
      <w:tr>
        <w:trPr>
          <w:trHeight w:val="21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27,368</w:t>
            </w:r>
          </w:p>
        </w:tc>
      </w:tr>
      <w:tr>
        <w:trPr>
          <w:trHeight w:val="207"/>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loans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Gain on sale of other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Gain (loss) recognized on real estate owned and other repossessed collateral,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r>
      <w:tr>
        <w:trPr>
          <w:trHeight w:val="214"/>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r>
      <w:tr>
        <w:trPr>
          <w:trHeight w:val="207"/>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13,956</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3,937</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4"/>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8"/>
                <w:szCs w:val="18"/>
                <w:color w:val="auto"/>
              </w:rPr>
            </w:pPr>
          </w:p>
        </w:tc>
      </w:tr>
      <w:tr>
        <w:trPr>
          <w:trHeight w:val="207"/>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4"/>
        </w:trPr>
        <w:tc>
          <w:tcPr>
            <w:tcW w:w="59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8,313</w:t>
            </w:r>
          </w:p>
        </w:tc>
      </w:tr>
      <w:tr>
        <w:trPr>
          <w:trHeight w:val="21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3,461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5,421</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8,830,442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9,456,198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8,923,280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9,526,302</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8,893,534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9,459,611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8,963,483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9,531,747</w:t>
            </w:r>
          </w:p>
        </w:tc>
      </w:tr>
      <w:tr>
        <w:trPr>
          <w:trHeight w:val="214"/>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r>
      <w:tr>
        <w:trPr>
          <w:trHeight w:val="214"/>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14"/>
        </w:trPr>
        <w:tc>
          <w:tcPr>
            <w:tcW w:w="5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85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6948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850" w:gutter="0" w:footer="0" w:header="0"/>
          <w:type w:val="continuous"/>
        </w:sectPr>
      </w:pPr>
    </w:p>
    <w:bookmarkStart w:id="5" w:name="page6"/>
    <w:bookmarkEnd w:id="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5"/>
          </w:tcPr>
          <w:p>
            <w:pPr>
              <w:jc w:val="right"/>
              <w:ind w:right="38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Pr>
          <w:p>
            <w:pPr>
              <w:spacing w:after="0"/>
              <w:rPr>
                <w:sz w:val="19"/>
                <w:szCs w:val="19"/>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color w:val="auto"/>
                <w:w w:val="91"/>
              </w:rPr>
              <w:t>Nine Months Ended March 31,</w:t>
            </w:r>
          </w:p>
        </w:tc>
      </w:tr>
      <w:tr>
        <w:trPr>
          <w:trHeight w:val="209"/>
        </w:trPr>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shd w:val="clear" w:color="auto" w:fill="CCEEFF"/>
          </w:tcPr>
          <w:p>
            <w:pPr>
              <w:spacing w:after="0"/>
              <w:rPr>
                <w:sz w:val="18"/>
                <w:szCs w:val="18"/>
                <w:color w:val="auto"/>
              </w:rPr>
            </w:pPr>
          </w:p>
        </w:tc>
      </w:tr>
      <w:tr>
        <w:trPr>
          <w:trHeight w:val="214"/>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08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net unrealized gain (loss) on available-for-sale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r>
      <w:tr>
        <w:trPr>
          <w:trHeight w:val="214"/>
        </w:trPr>
        <w:tc>
          <w:tcPr>
            <w:tcW w:w="608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accumulated gain (loss) on effective cash flow hedges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r>
      <w:tr>
        <w:trPr>
          <w:trHeight w:val="214"/>
        </w:trPr>
        <w:tc>
          <w:tcPr>
            <w:tcW w:w="6080" w:type="dxa"/>
            <w:vAlign w:val="bottom"/>
          </w:tcPr>
          <w:p>
            <w:pPr>
              <w:ind w:left="320"/>
              <w:spacing w:after="0"/>
              <w:rPr>
                <w:sz w:val="20"/>
                <w:szCs w:val="20"/>
                <w:color w:val="auto"/>
              </w:rPr>
            </w:pPr>
            <w:r>
              <w:rPr>
                <w:rFonts w:ascii="Arial" w:cs="Arial" w:eastAsia="Arial" w:hAnsi="Arial"/>
                <w:sz w:val="18"/>
                <w:szCs w:val="18"/>
                <w:color w:val="auto"/>
              </w:rPr>
              <w:t>Reclassification adjustments included in net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8"/>
                <w:szCs w:val="18"/>
                <w:color w:val="auto"/>
              </w:rPr>
              <w:t>Total other comprehensive income (loss), before tax</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r>
      <w:tr>
        <w:trPr>
          <w:trHeight w:val="21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related to other comprehensive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r>
      <w:tr>
        <w:trPr>
          <w:trHeight w:val="247"/>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4" w:lineRule="exact"/>
        <w:rPr>
          <w:sz w:val="20"/>
          <w:szCs w:val="20"/>
          <w:color w:val="auto"/>
        </w:rPr>
      </w:pPr>
    </w:p>
    <w:p>
      <w:pPr>
        <w:ind w:right="4940"/>
        <w:spacing w:after="0" w:line="247"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200" w:type="dxa"/>
            <w:vAlign w:val="bottom"/>
          </w:tcPr>
          <w:p>
            <w:pPr>
              <w:spacing w:after="0"/>
              <w:rPr>
                <w:sz w:val="18"/>
                <w:szCs w:val="18"/>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w w:val="96"/>
              </w:rPr>
              <w:t>Voting Common Stock</w:t>
            </w:r>
          </w:p>
        </w:tc>
        <w:tc>
          <w:tcPr>
            <w:tcW w:w="120" w:type="dxa"/>
            <w:vAlign w:val="bottom"/>
          </w:tcPr>
          <w:p>
            <w:pPr>
              <w:spacing w:after="0"/>
              <w:rPr>
                <w:sz w:val="18"/>
                <w:szCs w:val="18"/>
                <w:color w:val="auto"/>
              </w:rPr>
            </w:pPr>
          </w:p>
        </w:tc>
        <w:tc>
          <w:tcPr>
            <w:tcW w:w="2200" w:type="dxa"/>
            <w:vAlign w:val="bottom"/>
            <w:gridSpan w:val="3"/>
            <w:vMerge w:val="restart"/>
          </w:tcPr>
          <w:p>
            <w:pPr>
              <w:jc w:val="right"/>
              <w:ind w:right="71"/>
              <w:spacing w:after="0"/>
              <w:rPr>
                <w:sz w:val="20"/>
                <w:szCs w:val="20"/>
                <w:color w:val="auto"/>
              </w:rPr>
            </w:pPr>
            <w:r>
              <w:rPr>
                <w:rFonts w:ascii="Arial" w:cs="Arial" w:eastAsia="Arial" w:hAnsi="Arial"/>
                <w:sz w:val="18"/>
                <w:szCs w:val="18"/>
                <w:color w:val="auto"/>
                <w:w w:val="93"/>
              </w:rPr>
              <w:t>Non-voting Common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251"/>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5"/>
        </w:trPr>
        <w:tc>
          <w:tcPr>
            <w:tcW w:w="1580" w:type="dxa"/>
            <w:vAlign w:val="bottom"/>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Additional</w:t>
            </w:r>
          </w:p>
        </w:tc>
        <w:tc>
          <w:tcPr>
            <w:tcW w:w="940" w:type="dxa"/>
            <w:vAlign w:val="bottom"/>
            <w:gridSpan w:val="2"/>
          </w:tcPr>
          <w:p>
            <w:pPr>
              <w:jc w:val="right"/>
              <w:ind w:right="91"/>
              <w:spacing w:after="0"/>
              <w:rPr>
                <w:sz w:val="20"/>
                <w:szCs w:val="20"/>
                <w:color w:val="auto"/>
              </w:rPr>
            </w:pPr>
            <w:r>
              <w:rPr>
                <w:rFonts w:ascii="Arial" w:cs="Arial" w:eastAsia="Arial" w:hAnsi="Arial"/>
                <w:sz w:val="18"/>
                <w:szCs w:val="18"/>
                <w:color w:val="auto"/>
              </w:rPr>
              <w:t>Retained</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w w:val="96"/>
              </w:rPr>
              <w:t>Comprehensive</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73"/>
              <w:spacing w:after="0" w:line="193" w:lineRule="exact"/>
              <w:rPr>
                <w:sz w:val="20"/>
                <w:szCs w:val="20"/>
                <w:color w:val="auto"/>
              </w:rPr>
            </w:pPr>
            <w:r>
              <w:rPr>
                <w:rFonts w:ascii="Arial" w:cs="Arial" w:eastAsia="Arial" w:hAnsi="Arial"/>
                <w:sz w:val="18"/>
                <w:szCs w:val="18"/>
                <w:color w:val="auto"/>
                <w:w w:val="92"/>
              </w:rPr>
              <w:t>Paid-in</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87"/>
              </w:rPr>
              <w:t>Shares</w:t>
            </w:r>
          </w:p>
        </w:tc>
        <w:tc>
          <w:tcPr>
            <w:tcW w:w="820" w:type="dxa"/>
            <w:vAlign w:val="bottom"/>
            <w:gridSpan w:val="2"/>
          </w:tcPr>
          <w:p>
            <w:pPr>
              <w:jc w:val="right"/>
              <w:ind w:right="31"/>
              <w:spacing w:after="0"/>
              <w:rPr>
                <w:sz w:val="20"/>
                <w:szCs w:val="20"/>
                <w:color w:val="auto"/>
              </w:rPr>
            </w:pPr>
            <w:r>
              <w:rPr>
                <w:rFonts w:ascii="Arial" w:cs="Arial" w:eastAsia="Arial" w:hAnsi="Arial"/>
                <w:sz w:val="18"/>
                <w:szCs w:val="18"/>
                <w:color w:val="auto"/>
              </w:rPr>
              <w:t>Amount</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Shares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9"/>
                <w:szCs w:val="19"/>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9"/>
                <w:szCs w:val="19"/>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w w:val="92"/>
              </w:rPr>
              <w:t>Capital</w:t>
            </w:r>
          </w:p>
        </w:tc>
        <w:tc>
          <w:tcPr>
            <w:tcW w:w="940" w:type="dxa"/>
            <w:vAlign w:val="bottom"/>
            <w:gridSpan w:val="2"/>
          </w:tcPr>
          <w:p>
            <w:pPr>
              <w:jc w:val="right"/>
              <w:ind w:right="91"/>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19"/>
                <w:szCs w:val="19"/>
                <w:color w:val="auto"/>
              </w:rPr>
            </w:pPr>
          </w:p>
        </w:tc>
        <w:tc>
          <w:tcPr>
            <w:tcW w:w="1020" w:type="dxa"/>
            <w:vAlign w:val="bottom"/>
          </w:tcPr>
          <w:p>
            <w:pPr>
              <w:jc w:val="center"/>
              <w:ind w:right="271"/>
              <w:spacing w:after="0"/>
              <w:rPr>
                <w:sz w:val="20"/>
                <w:szCs w:val="20"/>
                <w:color w:val="auto"/>
              </w:rPr>
            </w:pPr>
            <w:r>
              <w:rPr>
                <w:rFonts w:ascii="Arial" w:cs="Arial" w:eastAsia="Arial" w:hAnsi="Arial"/>
                <w:sz w:val="18"/>
                <w:szCs w:val="18"/>
                <w:color w:val="auto"/>
                <w:w w:val="89"/>
              </w:rPr>
              <w:t>Loss</w:t>
            </w:r>
          </w:p>
        </w:tc>
        <w:tc>
          <w:tcPr>
            <w:tcW w:w="2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at June 30,</w:t>
            </w: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8,575,144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1,012,739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85,506</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8"/>
              </w:rPr>
              <w:t>18,921</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5,421</w:t>
            </w:r>
          </w:p>
        </w:tc>
        <w:tc>
          <w:tcPr>
            <w:tcW w:w="28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net of tax</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Common stock</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repurchased</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(309,500)</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(2,905)</w:t>
            </w:r>
          </w:p>
        </w:tc>
        <w:tc>
          <w:tcPr>
            <w:tcW w:w="2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Conversions</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between voting</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non-voting</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(214,944)</w:t>
            </w: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214,944</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Dividends on</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at $0.03 per</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share</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Issuance of</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restricted</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forfeiture of</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48"/>
        </w:trPr>
        <w:tc>
          <w:tcPr>
            <w:tcW w:w="15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5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shd w:val="clear" w:color="auto" w:fill="CCEEFF"/>
          </w:tcPr>
          <w:p>
            <w:pPr>
              <w:jc w:val="right"/>
              <w:ind w:right="33"/>
              <w:spacing w:after="0" w:line="67" w:lineRule="exact"/>
              <w:rPr>
                <w:sz w:val="20"/>
                <w:szCs w:val="20"/>
                <w:color w:val="auto"/>
              </w:rPr>
            </w:pPr>
            <w:r>
              <w:rPr>
                <w:rFonts w:ascii="Arial" w:cs="Arial" w:eastAsia="Arial" w:hAnsi="Arial"/>
                <w:sz w:val="7"/>
                <w:szCs w:val="7"/>
                <w:color w:val="auto"/>
              </w:rPr>
              <w:t>(47,510</w:t>
            </w:r>
          </w:p>
        </w:tc>
        <w:tc>
          <w:tcPr>
            <w:tcW w:w="220" w:type="dxa"/>
            <w:vAlign w:val="bottom"/>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580" w:type="dxa"/>
            <w:vAlign w:val="bottom"/>
            <w:tcBorders>
              <w:top w:val="single" w:sz="8" w:color="CCEEFF"/>
            </w:tcBorders>
          </w:tcPr>
          <w:p>
            <w:pPr>
              <w:spacing w:after="0" w:line="193" w:lineRule="exact"/>
              <w:rPr>
                <w:sz w:val="20"/>
                <w:szCs w:val="20"/>
                <w:color w:val="auto"/>
              </w:rPr>
            </w:pPr>
            <w:r>
              <w:rPr>
                <w:rFonts w:ascii="Arial" w:cs="Arial" w:eastAsia="Arial" w:hAnsi="Arial"/>
                <w:sz w:val="18"/>
                <w:szCs w:val="18"/>
                <w:color w:val="auto"/>
              </w:rPr>
              <w:t>Balance at March</w:t>
            </w:r>
          </w:p>
        </w:tc>
        <w:tc>
          <w:tcPr>
            <w:tcW w:w="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8,103,190</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8,103</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1,227,683</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1,228</w:t>
            </w: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82,983</w:t>
            </w:r>
          </w:p>
        </w:tc>
        <w:tc>
          <w:tcPr>
            <w:tcW w:w="2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w w:val="98"/>
              </w:rPr>
              <w:t>24,055</w:t>
            </w:r>
          </w:p>
        </w:tc>
        <w:tc>
          <w:tcPr>
            <w:tcW w:w="28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line="381" w:lineRule="exact"/>
              <w:rPr>
                <w:sz w:val="20"/>
                <w:szCs w:val="20"/>
                <w:color w:val="auto"/>
              </w:rPr>
            </w:pPr>
            <w:r>
              <w:rPr>
                <w:rFonts w:ascii="Arial" w:cs="Arial" w:eastAsia="Arial" w:hAnsi="Arial"/>
                <w:sz w:val="18"/>
                <w:szCs w:val="18"/>
                <w:color w:val="auto"/>
              </w:rPr>
              <w:t>(1,843</w:t>
            </w:r>
            <w:r>
              <w:rPr>
                <w:rFonts w:ascii="Arial" w:cs="Arial" w:eastAsia="Arial" w:hAnsi="Arial"/>
                <w:sz w:val="35"/>
                <w:szCs w:val="35"/>
                <w:color w:val="auto"/>
                <w:vertAlign w:val="superscript"/>
              </w:rPr>
              <w:t>)</w:t>
            </w:r>
          </w:p>
        </w:tc>
        <w:tc>
          <w:tcPr>
            <w:tcW w:w="22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114,526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160"/>
              <w:spacing w:after="0" w:line="189" w:lineRule="exact"/>
              <w:rPr>
                <w:sz w:val="20"/>
                <w:szCs w:val="20"/>
                <w:color w:val="auto"/>
              </w:rPr>
            </w:pPr>
            <w:r>
              <w:rPr>
                <w:rFonts w:ascii="Arial" w:cs="Arial" w:eastAsia="Arial" w:hAnsi="Arial"/>
                <w:sz w:val="18"/>
                <w:szCs w:val="18"/>
                <w:color w:val="auto"/>
              </w:rPr>
              <w:t>31, 2016</w:t>
            </w:r>
          </w:p>
        </w:tc>
        <w:tc>
          <w:tcPr>
            <w:tcW w:w="6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80" w:type="dxa"/>
            <w:vAlign w:val="bottom"/>
          </w:tcPr>
          <w:p>
            <w:pPr>
              <w:spacing w:after="0" w:line="200" w:lineRule="exact"/>
              <w:rPr>
                <w:sz w:val="20"/>
                <w:szCs w:val="20"/>
                <w:color w:val="auto"/>
              </w:rPr>
            </w:pPr>
            <w:r>
              <w:rPr>
                <w:rFonts w:ascii="Arial" w:cs="Arial" w:eastAsia="Arial" w:hAnsi="Arial"/>
                <w:sz w:val="18"/>
                <w:szCs w:val="18"/>
                <w:color w:val="auto"/>
                <w:w w:val="98"/>
              </w:rPr>
              <w:t>Balance at June 30,</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160"/>
              <w:spacing w:after="0"/>
              <w:rPr>
                <w:sz w:val="20"/>
                <w:szCs w:val="20"/>
                <w:color w:val="auto"/>
              </w:rPr>
            </w:pPr>
            <w:r>
              <w:rPr>
                <w:rFonts w:ascii="Arial" w:cs="Arial" w:eastAsia="Arial" w:hAnsi="Arial"/>
                <w:sz w:val="18"/>
                <w:szCs w:val="18"/>
                <w:color w:val="auto"/>
              </w:rPr>
              <w:t>2016</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8,089,790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8,089</w:t>
            </w:r>
          </w:p>
        </w:tc>
        <w:tc>
          <w:tcPr>
            <w:tcW w:w="1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1,227,683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83,020</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w w:val="98"/>
              </w:rPr>
              <w:t>26,160</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8,312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Other</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comprehensive</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gain, net of tax</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repurchased</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(645,238)</w:t>
            </w: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Conversions</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between voting</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and non-voting</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net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236,489</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(236,489)</w:t>
            </w: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$0.03 per</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Stock-based</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580" w:type="dxa"/>
            <w:vAlign w:val="bottom"/>
          </w:tcPr>
          <w:p>
            <w:pPr>
              <w:ind w:left="160"/>
              <w:spacing w:after="0" w:line="200" w:lineRule="exact"/>
              <w:rPr>
                <w:sz w:val="20"/>
                <w:szCs w:val="20"/>
                <w:color w:val="auto"/>
              </w:rPr>
            </w:pPr>
            <w:r>
              <w:rPr>
                <w:rFonts w:ascii="Arial" w:cs="Arial" w:eastAsia="Arial" w:hAnsi="Arial"/>
                <w:sz w:val="18"/>
                <w:szCs w:val="18"/>
                <w:color w:val="auto"/>
              </w:rPr>
              <w:t>Cancellation and</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forfeiture of</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20"/>
              <w:spacing w:after="0"/>
              <w:rPr>
                <w:sz w:val="20"/>
                <w:szCs w:val="20"/>
                <w:color w:val="auto"/>
              </w:rPr>
            </w:pPr>
            <w:r>
              <w:rPr>
                <w:rFonts w:ascii="Arial" w:cs="Arial" w:eastAsia="Arial" w:hAnsi="Arial"/>
                <w:sz w:val="18"/>
                <w:szCs w:val="18"/>
                <w:color w:val="auto"/>
              </w:rPr>
              <w:t>restricted</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(16,956)</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tax related</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APIC</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8"/>
        </w:trPr>
        <w:tc>
          <w:tcPr>
            <w:tcW w:w="15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adjustment</w:t>
            </w:r>
          </w:p>
        </w:tc>
        <w:tc>
          <w:tcPr>
            <w:tcW w:w="68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5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jc w:val="right"/>
              <w:ind w:right="33"/>
              <w:spacing w:after="0" w:line="67" w:lineRule="exact"/>
              <w:rPr>
                <w:sz w:val="20"/>
                <w:szCs w:val="20"/>
                <w:color w:val="auto"/>
              </w:rPr>
            </w:pPr>
            <w:r>
              <w:rPr>
                <w:rFonts w:ascii="Arial" w:cs="Arial" w:eastAsia="Arial" w:hAnsi="Arial"/>
                <w:sz w:val="7"/>
                <w:szCs w:val="7"/>
                <w:color w:val="auto"/>
              </w:rPr>
              <w:t>(6</w:t>
            </w: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580" w:type="dxa"/>
            <w:vAlign w:val="bottom"/>
            <w:tcBorders>
              <w:top w:val="single" w:sz="8" w:color="CCEEFF"/>
            </w:tcBorders>
          </w:tcPr>
          <w:p>
            <w:pPr>
              <w:spacing w:after="0" w:line="193" w:lineRule="exact"/>
              <w:rPr>
                <w:sz w:val="20"/>
                <w:szCs w:val="20"/>
                <w:color w:val="auto"/>
              </w:rPr>
            </w:pPr>
            <w:r>
              <w:rPr>
                <w:rFonts w:ascii="Arial" w:cs="Arial" w:eastAsia="Arial" w:hAnsi="Arial"/>
                <w:sz w:val="18"/>
                <w:szCs w:val="18"/>
                <w:color w:val="auto"/>
              </w:rPr>
              <w:t>Balance at March</w:t>
            </w:r>
          </w:p>
        </w:tc>
        <w:tc>
          <w:tcPr>
            <w:tcW w:w="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7,824,085</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7,824</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991,194</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77,249</w:t>
            </w:r>
          </w:p>
        </w:tc>
        <w:tc>
          <w:tcPr>
            <w:tcW w:w="2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w w:val="98"/>
              </w:rPr>
              <w:t>34,204</w:t>
            </w:r>
          </w:p>
        </w:tc>
        <w:tc>
          <w:tcPr>
            <w:tcW w:w="28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line="381" w:lineRule="exact"/>
              <w:rPr>
                <w:sz w:val="20"/>
                <w:szCs w:val="20"/>
                <w:color w:val="auto"/>
              </w:rPr>
            </w:pPr>
            <w:r>
              <w:rPr>
                <w:rFonts w:ascii="Arial" w:cs="Arial" w:eastAsia="Arial" w:hAnsi="Arial"/>
                <w:sz w:val="18"/>
                <w:szCs w:val="18"/>
                <w:color w:val="auto"/>
              </w:rPr>
              <w:t>(1,593</w:t>
            </w:r>
            <w:r>
              <w:rPr>
                <w:rFonts w:ascii="Arial" w:cs="Arial" w:eastAsia="Arial" w:hAnsi="Arial"/>
                <w:sz w:val="35"/>
                <w:szCs w:val="35"/>
                <w:color w:val="auto"/>
                <w:vertAlign w:val="superscript"/>
              </w:rPr>
              <w:t>)</w:t>
            </w:r>
          </w:p>
        </w:tc>
        <w:tc>
          <w:tcPr>
            <w:tcW w:w="22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118,675</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160"/>
              <w:spacing w:after="0" w:line="189" w:lineRule="exact"/>
              <w:rPr>
                <w:sz w:val="20"/>
                <w:szCs w:val="20"/>
                <w:color w:val="auto"/>
              </w:rPr>
            </w:pPr>
            <w:r>
              <w:rPr>
                <w:rFonts w:ascii="Arial" w:cs="Arial" w:eastAsia="Arial" w:hAnsi="Arial"/>
                <w:sz w:val="18"/>
                <w:szCs w:val="18"/>
                <w:color w:val="auto"/>
              </w:rPr>
              <w:t>31, 2017</w:t>
            </w:r>
          </w:p>
        </w:tc>
        <w:tc>
          <w:tcPr>
            <w:tcW w:w="6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694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8" w:name="page9"/>
    <w:bookmarkEnd w:id="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tcPr>
          <w:p>
            <w:pPr>
              <w:jc w:val="right"/>
              <w:ind w:right="600"/>
              <w:spacing w:after="0"/>
              <w:rPr>
                <w:sz w:val="20"/>
                <w:szCs w:val="20"/>
                <w:color w:val="auto"/>
              </w:rPr>
            </w:pPr>
            <w:r>
              <w:rPr>
                <w:rFonts w:ascii="Arial" w:cs="Arial" w:eastAsia="Arial" w:hAnsi="Arial"/>
                <w:sz w:val="18"/>
                <w:szCs w:val="18"/>
                <w:color w:val="auto"/>
                <w:w w:val="97"/>
              </w:rPr>
              <w:t>Nine Months Ended March 31,</w:t>
            </w:r>
          </w:p>
        </w:tc>
      </w:tr>
      <w:tr>
        <w:trPr>
          <w:trHeight w:val="208"/>
        </w:trPr>
        <w:tc>
          <w:tcPr>
            <w:tcW w:w="8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07"/>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5,421</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 and impairment of real estate owned and other repossessed collateral, net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Loss on sale and disposal of premises and equipment,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deposits, net</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borrowings,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Originations of loans held for sale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(66,929)</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98,027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97,758</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residential loans held for sale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Gain on sales of SBA and other loans held for sale</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(3,776)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(2,558)</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Bank-owned life insurance income, net</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available-for-sale securities,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r>
      <w:tr>
        <w:trPr>
          <w:trHeight w:val="214"/>
        </w:trPr>
        <w:tc>
          <w:tcPr>
            <w:tcW w:w="812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07"/>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(19,526)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(20,566)</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31,870</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Proceeds from sale of other loans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(81,245)</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(24,095)</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14"/>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(43,048)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(92,086)</w:t>
            </w:r>
          </w:p>
        </w:tc>
      </w:tr>
      <w:tr>
        <w:trPr>
          <w:trHeight w:val="207"/>
        </w:trPr>
        <w:tc>
          <w:tcPr>
            <w:tcW w:w="8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78,195</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Net increase in short-term borrowings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(3,215)</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Taxes paid for retirement of common stock and other tax related APIC adjustment</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07"/>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r>
      <w:tr>
        <w:trPr>
          <w:trHeight w:val="247"/>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4"/>
        </w:trPr>
        <w:tc>
          <w:tcPr>
            <w:tcW w:w="8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812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 net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w:t>
            </w:r>
          </w:p>
        </w:tc>
        <w:tc>
          <w:tcPr>
            <w:tcW w:w="2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6948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204" w:lineRule="exact"/>
        <w:rPr>
          <w:sz w:val="20"/>
          <w:szCs w:val="20"/>
          <w:color w:val="auto"/>
        </w:rPr>
      </w:pPr>
    </w:p>
    <w:p>
      <w:pPr>
        <w:ind w:left="180" w:hanging="173"/>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2016 (“Fiscal 2016”) included in the Company's Annual Report on Form 10-K filed with the Securities and Exchange Commission.</w:t>
      </w:r>
    </w:p>
    <w:p>
      <w:pPr>
        <w:spacing w:after="0" w:line="179" w:lineRule="exact"/>
        <w:rPr>
          <w:sz w:val="20"/>
          <w:szCs w:val="20"/>
          <w:color w:val="auto"/>
        </w:rPr>
      </w:pPr>
    </w:p>
    <w:p>
      <w:pPr>
        <w:ind w:left="180" w:hanging="173"/>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(“ASU 2015-14”) was issued in August 2015 which defers adoption to annual reporting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2017. The Company is currently evaluating the impact of the adoption of ASU 2014-09 on its consolidated financial statements.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Company is currently evaluating the impact of the adoption of ASU 2016-01 on its consolidated financial statements.</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on its consolidated financial statements.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2016-05, </w:t>
      </w:r>
      <w:r>
        <w:rPr>
          <w:rFonts w:ascii="Arial" w:cs="Arial" w:eastAsia="Arial" w:hAnsi="Arial"/>
          <w:sz w:val="17"/>
          <w:szCs w:val="17"/>
          <w:i w:val="1"/>
          <w:iCs w:val="1"/>
          <w:color w:val="auto"/>
        </w:rPr>
        <w:t>Derivatives and Hedging (Topic 815): Effect of Derivative Contract Novations on Existing Hedge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(“ASU 2016-05”). The new guidance clarifies that a change in the counterparty to a derivative instrument that has been designated as the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under Topic 815 does not, in and of itself, require de-designation of that hedging relationship provided that all other hedge accounting criteria continue to be met. This guidance is effective for fiscal years beginning after December 15, 2016, and interim periods within those fiscal years. The adoption of this guidance is not expected to have a significant impact on the Company’s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(“ASU 2016-09”). The new guidance simplifies several aspects of the accounting for share-based payment transactions, including the income tax consequences, classification of awards as either equity or liabilities, and classification on the statement of cash flows. Entities will be required to recognize the income tax effects of awards in the income statement when the awards vest or are settled. This guidance is effective for fiscal years beginning after December 15, 2016, and interim periods within those annual periods. The adoption of this guidance is not expected to have a significant impact on the Company’s financial statements.</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(“ASU 2016-13”). This update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currently evaluating the impact of the adoption of ASU 2016-13 on its consolidated financial statements.</w:t>
      </w:r>
    </w:p>
    <w:p>
      <w:pPr>
        <w:spacing w:after="0" w:line="1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2016-15”). This update clarifies and provides guidance on several cash receipt and cash payment classification issues, including debt prepayment and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in this update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2016-18”). This update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March 2017, the FASB issued ASU 2017-08, </w:t>
      </w:r>
      <w:r>
        <w:rPr>
          <w:rFonts w:ascii="Arial" w:cs="Arial" w:eastAsia="Arial" w:hAnsi="Arial"/>
          <w:sz w:val="18"/>
          <w:szCs w:val="18"/>
          <w:i w:val="1"/>
          <w:iCs w:val="1"/>
          <w:color w:val="auto"/>
        </w:rPr>
        <w:t>Receivables- Nonrefundable Fees and Other Costs (Subtopic 310-20)</w:t>
      </w:r>
      <w:r>
        <w:rPr>
          <w:rFonts w:ascii="Arial" w:cs="Arial" w:eastAsia="Arial" w:hAnsi="Arial"/>
          <w:sz w:val="18"/>
          <w:szCs w:val="18"/>
          <w:color w:val="auto"/>
        </w:rPr>
        <w:t xml:space="preserve"> (“ASU 2017-08”). This update amends the amortization period for certain purchased callable debt securities held at a premium, and shortens the amortization period for the premium to the earliest call date. Under current GAAP, entities generally amortize the premium as an adjustment of yield over the contractual life of the instrument. The amendments in this update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80" w:hanging="173"/>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8"/>
                <w:szCs w:val="18"/>
                <w:color w:val="auto"/>
              </w:rPr>
              <w:t>March 31, 2017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6"/>
                <w:szCs w:val="16"/>
                <w:color w:val="auto"/>
              </w:rPr>
            </w:pPr>
          </w:p>
        </w:tc>
        <w:tc>
          <w:tcPr>
            <w:tcW w:w="1460" w:type="dxa"/>
            <w:vAlign w:val="bottom"/>
            <w:gridSpan w:val="3"/>
          </w:tcPr>
          <w:p>
            <w:pPr>
              <w:spacing w:after="0" w:line="195" w:lineRule="exact"/>
              <w:rPr>
                <w:sz w:val="20"/>
                <w:szCs w:val="20"/>
                <w:color w:val="auto"/>
              </w:rPr>
            </w:pPr>
            <w:r>
              <w:rPr>
                <w:rFonts w:ascii="Arial" w:cs="Arial" w:eastAsia="Arial" w:hAnsi="Arial"/>
                <w:sz w:val="18"/>
                <w:szCs w:val="18"/>
                <w:color w:val="auto"/>
              </w:rPr>
              <w:t>Gross Unrealized</w:t>
            </w:r>
          </w:p>
        </w:tc>
        <w:tc>
          <w:tcPr>
            <w:tcW w:w="16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3"/>
              </w:rPr>
              <w:t>Gross</w:t>
            </w:r>
          </w:p>
        </w:tc>
        <w:tc>
          <w:tcPr>
            <w:tcW w:w="240" w:type="dxa"/>
            <w:vAlign w:val="bottom"/>
          </w:tcPr>
          <w:p>
            <w:pPr>
              <w:spacing w:after="0"/>
              <w:rPr>
                <w:sz w:val="16"/>
                <w:szCs w:val="16"/>
                <w:color w:val="auto"/>
              </w:rPr>
            </w:pPr>
          </w:p>
        </w:tc>
        <w:tc>
          <w:tcPr>
            <w:tcW w:w="980" w:type="dxa"/>
            <w:vAlign w:val="bottom"/>
          </w:tcPr>
          <w:p>
            <w:pPr>
              <w:jc w:val="center"/>
              <w:ind w:right="151"/>
              <w:spacing w:after="0" w:line="195"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r>
      <w:tr>
        <w:trPr>
          <w:trHeight w:val="214"/>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1"/>
              </w:rPr>
              <w:t>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57,338</w:t>
            </w: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34,968</w:t>
            </w: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6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98,865</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6"/>
              </w:rPr>
              <w:t>June 30,</w:t>
            </w: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line="194"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6"/>
                <w:szCs w:val="16"/>
                <w:color w:val="auto"/>
              </w:rPr>
            </w:pPr>
          </w:p>
        </w:tc>
        <w:tc>
          <w:tcPr>
            <w:tcW w:w="1460" w:type="dxa"/>
            <w:vAlign w:val="bottom"/>
            <w:gridSpan w:val="3"/>
          </w:tcPr>
          <w:p>
            <w:pPr>
              <w:spacing w:after="0" w:line="194" w:lineRule="exact"/>
              <w:rPr>
                <w:sz w:val="20"/>
                <w:szCs w:val="20"/>
                <w:color w:val="auto"/>
              </w:rPr>
            </w:pPr>
            <w:r>
              <w:rPr>
                <w:rFonts w:ascii="Arial" w:cs="Arial" w:eastAsia="Arial" w:hAnsi="Arial"/>
                <w:sz w:val="18"/>
                <w:szCs w:val="18"/>
                <w:color w:val="auto"/>
              </w:rPr>
              <w:t>Gross Unrealized</w:t>
            </w:r>
          </w:p>
        </w:tc>
        <w:tc>
          <w:tcPr>
            <w:tcW w:w="16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color w:val="auto"/>
                <w:w w:val="83"/>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27"/>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1"/>
              </w:rPr>
              <w:t>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51,948</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r>
      <w:tr>
        <w:trPr>
          <w:trHeight w:val="214"/>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6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100,375</w:t>
            </w:r>
          </w:p>
        </w:tc>
        <w:tc>
          <w:tcPr>
            <w:tcW w:w="10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100,572</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nine months ended March 31, 2017 or 2016. At March 31, 2017, no investment securities were pledged as collateral to secure outstanding borrowings.</w:t>
      </w:r>
    </w:p>
    <w:p>
      <w:pPr>
        <w:spacing w:after="0" w:line="185" w:lineRule="exact"/>
        <w:rPr>
          <w:sz w:val="20"/>
          <w:szCs w:val="20"/>
          <w:color w:val="auto"/>
        </w:rPr>
      </w:pPr>
    </w:p>
    <w:p>
      <w:pPr>
        <w:ind w:right="660"/>
        <w:spacing w:after="0" w:line="270"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March 31, 2017</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80"/>
              <w:spacing w:after="0"/>
              <w:rPr>
                <w:sz w:val="20"/>
                <w:szCs w:val="20"/>
                <w:color w:val="auto"/>
              </w:rPr>
            </w:pPr>
            <w:r>
              <w:rPr>
                <w:rFonts w:ascii="Arial" w:cs="Arial" w:eastAsia="Arial" w:hAnsi="Arial"/>
                <w:sz w:val="18"/>
                <w:szCs w:val="18"/>
                <w:color w:val="auto"/>
              </w:rPr>
              <w:t>Less than 12 Months</w:t>
            </w:r>
          </w:p>
        </w:tc>
        <w:tc>
          <w:tcPr>
            <w:tcW w:w="220" w:type="dxa"/>
            <w:vAlign w:val="bottom"/>
          </w:tcPr>
          <w:p>
            <w:pPr>
              <w:spacing w:after="0"/>
              <w:rPr>
                <w:sz w:val="18"/>
                <w:szCs w:val="18"/>
                <w:color w:val="auto"/>
              </w:rPr>
            </w:pPr>
          </w:p>
        </w:tc>
        <w:tc>
          <w:tcPr>
            <w:tcW w:w="2440" w:type="dxa"/>
            <w:vAlign w:val="bottom"/>
            <w:gridSpan w:val="5"/>
          </w:tcPr>
          <w:p>
            <w:pPr>
              <w:ind w:left="260"/>
              <w:spacing w:after="0"/>
              <w:rPr>
                <w:sz w:val="20"/>
                <w:szCs w:val="20"/>
                <w:color w:val="auto"/>
              </w:rPr>
            </w:pPr>
            <w:r>
              <w:rPr>
                <w:rFonts w:ascii="Arial" w:cs="Arial" w:eastAsia="Arial" w:hAnsi="Arial"/>
                <w:sz w:val="18"/>
                <w:szCs w:val="18"/>
                <w:color w:val="auto"/>
              </w:rPr>
              <w:t>More than 12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line="193"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1"/>
              <w:spacing w:after="0" w:line="193" w:lineRule="exact"/>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0"/>
              <w:spacing w:after="0" w:line="193" w:lineRule="exact"/>
              <w:rPr>
                <w:sz w:val="20"/>
                <w:szCs w:val="20"/>
                <w:color w:val="auto"/>
              </w:rPr>
            </w:pPr>
            <w:r>
              <w:rPr>
                <w:rFonts w:ascii="Arial" w:cs="Arial" w:eastAsia="Arial" w:hAnsi="Arial"/>
                <w:sz w:val="18"/>
                <w:szCs w:val="18"/>
                <w:color w:val="auto"/>
              </w:rPr>
              <w:t>Fair</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1"/>
              <w:spacing w:after="0" w:line="193" w:lineRule="exact"/>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3"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1"/>
              <w:spacing w:after="0" w:line="193"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20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21,051</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13,917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80,446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13,917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color w:val="auto"/>
              </w:rPr>
              <w:t>June 30, 2016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80"/>
              <w:spacing w:after="0"/>
              <w:rPr>
                <w:sz w:val="20"/>
                <w:szCs w:val="20"/>
                <w:color w:val="auto"/>
              </w:rPr>
            </w:pPr>
            <w:r>
              <w:rPr>
                <w:rFonts w:ascii="Arial" w:cs="Arial" w:eastAsia="Arial" w:hAnsi="Arial"/>
                <w:sz w:val="18"/>
                <w:szCs w:val="18"/>
                <w:color w:val="auto"/>
              </w:rPr>
              <w:t>Less than 12 Months</w:t>
            </w:r>
          </w:p>
        </w:tc>
        <w:tc>
          <w:tcPr>
            <w:tcW w:w="220" w:type="dxa"/>
            <w:vAlign w:val="bottom"/>
          </w:tcPr>
          <w:p>
            <w:pPr>
              <w:spacing w:after="0"/>
              <w:rPr>
                <w:sz w:val="18"/>
                <w:szCs w:val="18"/>
                <w:color w:val="auto"/>
              </w:rPr>
            </w:pPr>
          </w:p>
        </w:tc>
        <w:tc>
          <w:tcPr>
            <w:tcW w:w="2440" w:type="dxa"/>
            <w:vAlign w:val="bottom"/>
            <w:gridSpan w:val="5"/>
          </w:tcPr>
          <w:p>
            <w:pPr>
              <w:ind w:left="260"/>
              <w:spacing w:after="0"/>
              <w:rPr>
                <w:sz w:val="20"/>
                <w:szCs w:val="20"/>
                <w:color w:val="auto"/>
              </w:rPr>
            </w:pPr>
            <w:r>
              <w:rPr>
                <w:rFonts w:ascii="Arial" w:cs="Arial" w:eastAsia="Arial" w:hAnsi="Arial"/>
                <w:sz w:val="18"/>
                <w:szCs w:val="18"/>
                <w:color w:val="auto"/>
              </w:rPr>
              <w:t>More than 12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line="193"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1"/>
              <w:spacing w:after="0" w:line="193" w:lineRule="exact"/>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0"/>
              <w:spacing w:after="0" w:line="193" w:lineRule="exact"/>
              <w:rPr>
                <w:sz w:val="20"/>
                <w:szCs w:val="20"/>
                <w:color w:val="auto"/>
              </w:rPr>
            </w:pPr>
            <w:r>
              <w:rPr>
                <w:rFonts w:ascii="Arial" w:cs="Arial" w:eastAsia="Arial" w:hAnsi="Arial"/>
                <w:sz w:val="18"/>
                <w:szCs w:val="18"/>
                <w:color w:val="auto"/>
              </w:rPr>
              <w:t>Fair</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1"/>
              <w:spacing w:after="0" w:line="193" w:lineRule="exact"/>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3"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1"/>
              <w:spacing w:after="0" w:line="193"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20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25,350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25,350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2017 or 2016.</w:t>
      </w:r>
    </w:p>
    <w:p>
      <w:pPr>
        <w:spacing w:after="0" w:line="221"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At March 31, 2017, the Company had seven securities in a continuous loss position for greater than twelve months. At March 31, 2017, all of the Company’s available-for-sale securities were issued or guaranteed by either government agencies or government-sponsored enterprises. The decline in fair value of the Company’s available-for-sale securities at March 31, 2017 is attributable to changes in interest rates.</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March 31, 2017,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March 31, 2017.</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March 31, 2017, the effective duration of the fund that seeks to invest in securities either issued or guaranteed by the U.S. government or its agencies is 5.35 years.</w:t>
      </w:r>
    </w:p>
    <w:p>
      <w:pPr>
        <w:sectPr>
          <w:pgSz w:w="11900" w:h="16838" w:orient="portrait"/>
          <w:cols w:equalWidth="0" w:num="1">
            <w:col w:w="11420"/>
          </w:cols>
          <w:pgMar w:left="240" w:top="118"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93980</wp:posOffset>
            </wp:positionV>
            <wp:extent cx="726948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3" w:name="page14"/>
    <w:bookmarkEnd w:id="1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March 31, 2017. Actual maturities may differ from contractual maturities because borrowers may have the right to call or prepay obligations with or without call or prepayment penalties.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Amortized</w:t>
            </w: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Fair</w:t>
            </w:r>
          </w:p>
        </w:tc>
        <w:tc>
          <w:tcPr>
            <w:tcW w:w="2320" w:type="dxa"/>
            <w:vAlign w:val="bottom"/>
          </w:tcPr>
          <w:p>
            <w:pPr>
              <w:spacing w:after="0"/>
              <w:rPr>
                <w:sz w:val="18"/>
                <w:szCs w:val="18"/>
                <w:color w:val="auto"/>
              </w:rPr>
            </w:pPr>
          </w:p>
        </w:tc>
      </w:tr>
      <w:tr>
        <w:trPr>
          <w:trHeight w:val="227"/>
        </w:trPr>
        <w:tc>
          <w:tcPr>
            <w:tcW w:w="4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08"/>
        </w:trPr>
        <w:tc>
          <w:tcPr>
            <w:tcW w:w="4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ind w:left="60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15,153</w:t>
            </w:r>
          </w:p>
        </w:tc>
        <w:tc>
          <w:tcPr>
            <w:tcW w:w="2320" w:type="dxa"/>
            <w:vAlign w:val="bottom"/>
          </w:tcPr>
          <w:p>
            <w:pPr>
              <w:spacing w:after="0"/>
              <w:rPr>
                <w:sz w:val="18"/>
                <w:szCs w:val="18"/>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43,438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43,250</w:t>
            </w:r>
          </w:p>
        </w:tc>
        <w:tc>
          <w:tcPr>
            <w:tcW w:w="2320" w:type="dxa"/>
            <w:vAlign w:val="bottom"/>
          </w:tcPr>
          <w:p>
            <w:pPr>
              <w:spacing w:after="0"/>
              <w:rPr>
                <w:sz w:val="18"/>
                <w:szCs w:val="18"/>
                <w:color w:val="auto"/>
              </w:rPr>
            </w:pPr>
          </w:p>
        </w:tc>
      </w:tr>
      <w:tr>
        <w:trPr>
          <w:trHeight w:val="21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14,118</w:t>
            </w:r>
          </w:p>
        </w:tc>
        <w:tc>
          <w:tcPr>
            <w:tcW w:w="2320" w:type="dxa"/>
            <w:vAlign w:val="bottom"/>
          </w:tcPr>
          <w:p>
            <w:pPr>
              <w:spacing w:after="0"/>
              <w:rPr>
                <w:sz w:val="18"/>
                <w:szCs w:val="18"/>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Due after ten years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20,266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19,785</w:t>
            </w:r>
          </w:p>
        </w:tc>
        <w:tc>
          <w:tcPr>
            <w:tcW w:w="2320" w:type="dxa"/>
            <w:vAlign w:val="bottom"/>
          </w:tcPr>
          <w:p>
            <w:pPr>
              <w:spacing w:after="0"/>
              <w:rPr>
                <w:sz w:val="18"/>
                <w:szCs w:val="18"/>
                <w:color w:val="auto"/>
              </w:rPr>
            </w:pPr>
          </w:p>
        </w:tc>
      </w:tr>
      <w:tr>
        <w:trPr>
          <w:trHeight w:val="247"/>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93,193</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92,306</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647"/>
        </w:trPr>
        <w:tc>
          <w:tcPr>
            <w:tcW w:w="4160" w:type="dxa"/>
            <w:vAlign w:val="bottom"/>
          </w:tcPr>
          <w:p>
            <w:pPr>
              <w:spacing w:after="0"/>
              <w:rPr>
                <w:sz w:val="24"/>
                <w:szCs w:val="24"/>
                <w:color w:val="auto"/>
              </w:rPr>
            </w:pPr>
          </w:p>
        </w:tc>
        <w:tc>
          <w:tcPr>
            <w:tcW w:w="1860" w:type="dxa"/>
            <w:vAlign w:val="bottom"/>
            <w:gridSpan w:val="2"/>
          </w:tcPr>
          <w:p>
            <w:pPr>
              <w:jc w:val="right"/>
              <w:ind w:right="131"/>
              <w:spacing w:after="0"/>
              <w:rPr>
                <w:sz w:val="20"/>
                <w:szCs w:val="20"/>
                <w:color w:val="auto"/>
              </w:rPr>
            </w:pPr>
            <w:r>
              <w:rPr>
                <w:rFonts w:ascii="Arial" w:cs="Arial" w:eastAsia="Arial" w:hAnsi="Arial"/>
                <w:sz w:val="18"/>
                <w:szCs w:val="18"/>
                <w:color w:val="auto"/>
              </w:rPr>
              <w:t>11</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4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0"/>
        </w:trPr>
        <w:tc>
          <w:tcPr>
            <w:tcW w:w="41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4" w:name="page15"/>
    <w:bookmarkEnd w:id="1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80" w:hanging="173"/>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Loans purchased by the Company are accounted for under ASC 310-30, Receivables—Loans and Debt Securities Acquired with Deteriorated Credit Quality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March 31, 2017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9"/>
              </w:rPr>
              <w:t>June 30, 2016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6"/>
              </w:rPr>
              <w:t>Originated</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8"/>
              </w:rPr>
              <w:t>Purchased</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6"/>
              </w:rPr>
              <w:t>Originated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88"/>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0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color w:val="auto"/>
                <w:w w:val="99"/>
              </w:rPr>
              <w:t>(Dollars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3,026</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95,950</w:t>
            </w: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14,741</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14,741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232,419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479,260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426,568</w:t>
            </w: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154,343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145,956</w:t>
            </w: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505,132</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236,596</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741,728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692,436</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Total loans include net deferred loan origination costs of $748 thousand as of March 31, 2017 and net deferred loan origination fees of $58 thousand as of June 30,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rPr>
              <w:t>March 31, 2017</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60"/>
              <w:spacing w:after="0" w:line="194" w:lineRule="exact"/>
              <w:rPr>
                <w:sz w:val="20"/>
                <w:szCs w:val="20"/>
                <w:color w:val="auto"/>
              </w:rPr>
            </w:pPr>
            <w:r>
              <w:rPr>
                <w:rFonts w:ascii="Arial" w:cs="Arial" w:eastAsia="Arial" w:hAnsi="Arial"/>
                <w:sz w:val="18"/>
                <w:szCs w:val="18"/>
                <w:color w:val="auto"/>
                <w:w w:val="86"/>
              </w:rPr>
              <w:t>Past Due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90 Days or</w:t>
            </w:r>
          </w:p>
        </w:tc>
        <w:tc>
          <w:tcPr>
            <w:tcW w:w="18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r>
      <w:tr>
        <w:trPr>
          <w:trHeight w:val="214"/>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1"/>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1"/>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More-</w:t>
            </w:r>
          </w:p>
        </w:tc>
        <w:tc>
          <w:tcPr>
            <w:tcW w:w="1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r>
      <w:tr>
        <w:trPr>
          <w:trHeight w:val="227"/>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Days</w:t>
            </w:r>
          </w:p>
        </w:tc>
        <w:tc>
          <w:tcPr>
            <w:tcW w:w="16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Nonaccrual</w:t>
            </w:r>
          </w:p>
        </w:tc>
        <w:tc>
          <w:tcPr>
            <w:tcW w:w="18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Current</w:t>
            </w:r>
          </w:p>
        </w:tc>
        <w:tc>
          <w:tcPr>
            <w:tcW w:w="16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r>
      <w:tr>
        <w:trPr>
          <w:trHeight w:val="209"/>
        </w:trPr>
        <w:tc>
          <w:tcPr>
            <w:tcW w:w="2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(Dollars in</w:t>
            </w:r>
          </w:p>
        </w:tc>
        <w:tc>
          <w:tcPr>
            <w:tcW w:w="240" w:type="dxa"/>
            <w:vAlign w:val="bottom"/>
          </w:tcPr>
          <w:p>
            <w:pPr>
              <w:spacing w:after="0"/>
              <w:rPr>
                <w:sz w:val="18"/>
                <w:szCs w:val="18"/>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1,199</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430</w:t>
            </w:r>
          </w:p>
        </w:tc>
        <w:tc>
          <w:tcPr>
            <w:tcW w:w="860" w:type="dxa"/>
            <w:vAlign w:val="bottom"/>
          </w:tcPr>
          <w:p>
            <w:pPr>
              <w:jc w:val="right"/>
              <w:ind w:right="696"/>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2,799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82,688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85,487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3,265</w:t>
            </w: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245,736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246,841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150,724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4,711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0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498,405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216,239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w:t>
            </w:r>
          </w:p>
        </w:tc>
      </w:tr>
      <w:tr>
        <w:trPr>
          <w:trHeight w:val="20"/>
        </w:trPr>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24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5,898</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17,405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219,191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8,388</w:t>
            </w:r>
          </w:p>
        </w:tc>
      </w:tr>
      <w:tr>
        <w:trPr>
          <w:trHeight w:val="247"/>
        </w:trPr>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1"/>
        </w:trPr>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color w:val="auto"/>
              </w:rPr>
              <w:t>June 30, 2016</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60"/>
              <w:spacing w:after="0" w:line="194" w:lineRule="exact"/>
              <w:rPr>
                <w:sz w:val="20"/>
                <w:szCs w:val="20"/>
                <w:color w:val="auto"/>
              </w:rPr>
            </w:pPr>
            <w:r>
              <w:rPr>
                <w:rFonts w:ascii="Arial" w:cs="Arial" w:eastAsia="Arial" w:hAnsi="Arial"/>
                <w:sz w:val="18"/>
                <w:szCs w:val="18"/>
                <w:color w:val="auto"/>
                <w:w w:val="86"/>
              </w:rPr>
              <w:t>Past Due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90 Days or</w:t>
            </w:r>
          </w:p>
        </w:tc>
        <w:tc>
          <w:tcPr>
            <w:tcW w:w="18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r>
      <w:tr>
        <w:trPr>
          <w:trHeight w:val="214"/>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1"/>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1"/>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More-</w:t>
            </w:r>
          </w:p>
        </w:tc>
        <w:tc>
          <w:tcPr>
            <w:tcW w:w="1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r>
      <w:tr>
        <w:trPr>
          <w:trHeight w:val="227"/>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Days</w:t>
            </w:r>
          </w:p>
        </w:tc>
        <w:tc>
          <w:tcPr>
            <w:tcW w:w="16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Nonaccrual</w:t>
            </w:r>
          </w:p>
        </w:tc>
        <w:tc>
          <w:tcPr>
            <w:tcW w:w="180" w:type="dxa"/>
            <w:vAlign w:val="bottom"/>
          </w:tcPr>
          <w:p>
            <w:pPr>
              <w:spacing w:after="0"/>
              <w:rPr>
                <w:sz w:val="19"/>
                <w:szCs w:val="19"/>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Current</w:t>
            </w:r>
          </w:p>
        </w:tc>
        <w:tc>
          <w:tcPr>
            <w:tcW w:w="16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r>
      <w:tr>
        <w:trPr>
          <w:trHeight w:val="209"/>
        </w:trPr>
        <w:tc>
          <w:tcPr>
            <w:tcW w:w="2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(Dollars in</w:t>
            </w:r>
          </w:p>
        </w:tc>
        <w:tc>
          <w:tcPr>
            <w:tcW w:w="240" w:type="dxa"/>
            <w:vAlign w:val="bottom"/>
          </w:tcPr>
          <w:p>
            <w:pPr>
              <w:spacing w:after="0"/>
              <w:rPr>
                <w:sz w:val="18"/>
                <w:szCs w:val="18"/>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860" w:type="dxa"/>
            <w:vAlign w:val="bottom"/>
          </w:tcPr>
          <w:p>
            <w:pPr>
              <w:jc w:val="right"/>
              <w:ind w:right="696"/>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2,767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90,624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93,391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189,296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145,743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0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449,228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233,546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r>
      <w:tr>
        <w:trPr>
          <w:trHeight w:val="20"/>
        </w:trPr>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24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3,387</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236,303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r>
      <w:tr>
        <w:trPr>
          <w:trHeight w:val="247"/>
        </w:trPr>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685,531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92" w:lineRule="exact"/>
        <w:rPr>
          <w:sz w:val="20"/>
          <w:szCs w:val="20"/>
          <w:color w:val="auto"/>
        </w:rPr>
      </w:pPr>
    </w:p>
    <w:p>
      <w:pPr>
        <w:ind w:left="480" w:right="40"/>
        <w:spacing w:after="0" w:line="255"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90" w:lineRule="exact"/>
        <w:rPr>
          <w:sz w:val="20"/>
          <w:szCs w:val="20"/>
          <w:color w:val="auto"/>
        </w:rPr>
      </w:pPr>
    </w:p>
    <w:p>
      <w:pPr>
        <w:ind w:left="480" w:right="20"/>
        <w:spacing w:after="0" w:line="292"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ectPr>
          <w:pgSz w:w="11900" w:h="16838" w:orient="portrait"/>
          <w:cols w:equalWidth="0" w:num="1">
            <w:col w:w="11420"/>
          </w:cols>
          <w:pgMar w:left="240" w:top="118" w:right="239" w:bottom="6"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6" w:gutter="0" w:footer="0" w:header="0"/>
          <w:type w:val="continuous"/>
        </w:sectPr>
      </w:pPr>
    </w:p>
    <w:bookmarkStart w:id="16" w:name="page17"/>
    <w:bookmarkEnd w:id="1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5" w:lineRule="exact"/>
        <w:rPr>
          <w:sz w:val="20"/>
          <w:szCs w:val="20"/>
          <w:color w:val="auto"/>
        </w:rPr>
      </w:pPr>
    </w:p>
    <w:p>
      <w:pPr>
        <w:ind w:left="480" w:right="420"/>
        <w:spacing w:after="0" w:line="334"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9" w:lineRule="exact"/>
        <w:rPr>
          <w:sz w:val="20"/>
          <w:szCs w:val="20"/>
          <w:color w:val="auto"/>
        </w:rPr>
      </w:pPr>
    </w:p>
    <w:p>
      <w:pPr>
        <w:ind w:left="480"/>
        <w:spacing w:after="0" w:line="288"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5" w:lineRule="exact"/>
        <w:rPr>
          <w:sz w:val="20"/>
          <w:szCs w:val="20"/>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0"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0" w:lineRule="exact"/>
        <w:rPr>
          <w:rFonts w:ascii="Arial" w:cs="Arial" w:eastAsia="Arial" w:hAnsi="Arial"/>
          <w:sz w:val="18"/>
          <w:szCs w:val="18"/>
          <w:color w:val="auto"/>
        </w:rPr>
      </w:pPr>
    </w:p>
    <w:p>
      <w:pPr>
        <w:ind w:left="640" w:right="40" w:hanging="312"/>
        <w:spacing w:after="0" w:line="27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5"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0"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0"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0"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line="54"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Three Months Ended March 31, 2017</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560" w:type="dxa"/>
            <w:vAlign w:val="bottom"/>
          </w:tcPr>
          <w:p>
            <w:pPr>
              <w:spacing w:after="0"/>
              <w:rPr>
                <w:sz w:val="16"/>
                <w:szCs w:val="16"/>
                <w:color w:val="auto"/>
              </w:rPr>
            </w:pPr>
          </w:p>
        </w:tc>
        <w:tc>
          <w:tcPr>
            <w:tcW w:w="1160" w:type="dxa"/>
            <w:vAlign w:val="bottom"/>
            <w:gridSpan w:val="5"/>
          </w:tcPr>
          <w:p>
            <w:pPr>
              <w:jc w:val="right"/>
              <w:ind w:right="300"/>
              <w:spacing w:after="0" w:line="194" w:lineRule="exact"/>
              <w:rPr>
                <w:sz w:val="20"/>
                <w:szCs w:val="20"/>
                <w:color w:val="auto"/>
              </w:rPr>
            </w:pPr>
            <w:r>
              <w:rPr>
                <w:rFonts w:ascii="Arial" w:cs="Arial" w:eastAsia="Arial" w:hAnsi="Arial"/>
                <w:sz w:val="18"/>
                <w:szCs w:val="18"/>
                <w:color w:val="auto"/>
                <w:w w:val="94"/>
              </w:rPr>
              <w:t>Residential</w:t>
            </w:r>
          </w:p>
        </w:tc>
        <w:tc>
          <w:tcPr>
            <w:tcW w:w="1160" w:type="dxa"/>
            <w:vAlign w:val="bottom"/>
            <w:gridSpan w:val="4"/>
          </w:tcPr>
          <w:p>
            <w:pPr>
              <w:ind w:left="20"/>
              <w:spacing w:after="0" w:line="194" w:lineRule="exact"/>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6"/>
                <w:szCs w:val="16"/>
                <w:color w:val="auto"/>
              </w:rPr>
            </w:pPr>
          </w:p>
        </w:tc>
        <w:tc>
          <w:tcPr>
            <w:tcW w:w="112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56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Real Estate</w:t>
            </w:r>
          </w:p>
        </w:tc>
        <w:tc>
          <w:tcPr>
            <w:tcW w:w="240" w:type="dxa"/>
            <w:vAlign w:val="bottom"/>
            <w:gridSpan w:val="2"/>
          </w:tcPr>
          <w:p>
            <w:pPr>
              <w:spacing w:after="0"/>
              <w:rPr>
                <w:sz w:val="19"/>
                <w:szCs w:val="19"/>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2"/>
              </w:rPr>
              <w:t>Real Estate</w:t>
            </w:r>
          </w:p>
        </w:tc>
        <w:tc>
          <w:tcPr>
            <w:tcW w:w="200" w:type="dxa"/>
            <w:vAlign w:val="bottom"/>
          </w:tcPr>
          <w:p>
            <w:pPr>
              <w:spacing w:after="0"/>
              <w:rPr>
                <w:sz w:val="19"/>
                <w:szCs w:val="19"/>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8"/>
              </w:rPr>
              <w:t>and Industrial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Consumer</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Unallocated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08"/>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90"/>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w:t>
            </w: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182</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8"/>
                <w:szCs w:val="18"/>
                <w:color w:val="auto"/>
                <w:w w:val="93"/>
              </w:rPr>
              <w:t>Three Months Ended March 31, 2016</w:t>
            </w: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180"/>
              <w:spacing w:after="0" w:line="194"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1080" w:type="dxa"/>
            <w:vAlign w:val="bottom"/>
            <w:gridSpan w:val="3"/>
          </w:tcPr>
          <w:p>
            <w:pPr>
              <w:spacing w:after="0" w:line="194" w:lineRule="exact"/>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6"/>
                <w:szCs w:val="16"/>
                <w:color w:val="auto"/>
              </w:rPr>
            </w:pPr>
          </w:p>
        </w:tc>
        <w:tc>
          <w:tcPr>
            <w:tcW w:w="112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Consumer</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Purchased</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Unallocated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7"/>
          </w:tcPr>
          <w:p>
            <w:pPr>
              <w:jc w:val="right"/>
              <w:ind w:right="461"/>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7"/>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Nine Months Ended March 31, 2017</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60" w:type="dxa"/>
            <w:vAlign w:val="bottom"/>
          </w:tcPr>
          <w:p>
            <w:pPr>
              <w:spacing w:after="0"/>
              <w:rPr>
                <w:sz w:val="16"/>
                <w:szCs w:val="16"/>
                <w:color w:val="auto"/>
              </w:rPr>
            </w:pPr>
          </w:p>
        </w:tc>
        <w:tc>
          <w:tcPr>
            <w:tcW w:w="1160" w:type="dxa"/>
            <w:vAlign w:val="bottom"/>
            <w:gridSpan w:val="5"/>
          </w:tcPr>
          <w:p>
            <w:pPr>
              <w:jc w:val="right"/>
              <w:ind w:right="300"/>
              <w:spacing w:after="0" w:line="194" w:lineRule="exact"/>
              <w:rPr>
                <w:sz w:val="20"/>
                <w:szCs w:val="20"/>
                <w:color w:val="auto"/>
              </w:rPr>
            </w:pPr>
            <w:r>
              <w:rPr>
                <w:rFonts w:ascii="Arial" w:cs="Arial" w:eastAsia="Arial" w:hAnsi="Arial"/>
                <w:sz w:val="18"/>
                <w:szCs w:val="18"/>
                <w:color w:val="auto"/>
                <w:w w:val="94"/>
              </w:rPr>
              <w:t>Residential</w:t>
            </w:r>
          </w:p>
        </w:tc>
        <w:tc>
          <w:tcPr>
            <w:tcW w:w="1160" w:type="dxa"/>
            <w:vAlign w:val="bottom"/>
            <w:gridSpan w:val="4"/>
          </w:tcPr>
          <w:p>
            <w:pPr>
              <w:ind w:left="20"/>
              <w:spacing w:after="0" w:line="194" w:lineRule="exact"/>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6"/>
                <w:szCs w:val="16"/>
                <w:color w:val="auto"/>
              </w:rPr>
            </w:pPr>
          </w:p>
        </w:tc>
        <w:tc>
          <w:tcPr>
            <w:tcW w:w="112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56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Real Estate</w:t>
            </w:r>
          </w:p>
        </w:tc>
        <w:tc>
          <w:tcPr>
            <w:tcW w:w="240" w:type="dxa"/>
            <w:vAlign w:val="bottom"/>
            <w:gridSpan w:val="2"/>
          </w:tcPr>
          <w:p>
            <w:pPr>
              <w:spacing w:after="0"/>
              <w:rPr>
                <w:sz w:val="19"/>
                <w:szCs w:val="19"/>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2"/>
              </w:rPr>
              <w:t>Real Estate</w:t>
            </w:r>
          </w:p>
        </w:tc>
        <w:tc>
          <w:tcPr>
            <w:tcW w:w="200" w:type="dxa"/>
            <w:vAlign w:val="bottom"/>
          </w:tcPr>
          <w:p>
            <w:pPr>
              <w:spacing w:after="0"/>
              <w:rPr>
                <w:sz w:val="19"/>
                <w:szCs w:val="19"/>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8"/>
              </w:rPr>
              <w:t>and Industrial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Consumer</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Unallocated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08"/>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90"/>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124</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5"/>
              </w:rPr>
              <w:t>Nine Months Ended March 31, 2016</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180"/>
              <w:spacing w:after="0" w:line="194"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1080" w:type="dxa"/>
            <w:vAlign w:val="bottom"/>
            <w:gridSpan w:val="3"/>
          </w:tcPr>
          <w:p>
            <w:pPr>
              <w:spacing w:after="0" w:line="194" w:lineRule="exact"/>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6"/>
                <w:szCs w:val="16"/>
                <w:color w:val="auto"/>
              </w:rPr>
            </w:pPr>
          </w:p>
        </w:tc>
        <w:tc>
          <w:tcPr>
            <w:tcW w:w="112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Consumer</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Purchased</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Unallocated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7"/>
          </w:tcPr>
          <w:p>
            <w:pPr>
              <w:jc w:val="right"/>
              <w:ind w:right="461"/>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787</w:t>
            </w:r>
          </w:p>
        </w:tc>
        <w:tc>
          <w:tcPr>
            <w:tcW w:w="3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(799)</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March 31, 2017</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560" w:type="dxa"/>
            <w:vAlign w:val="bottom"/>
          </w:tcPr>
          <w:p>
            <w:pPr>
              <w:spacing w:after="0"/>
              <w:rPr>
                <w:sz w:val="16"/>
                <w:szCs w:val="16"/>
                <w:color w:val="auto"/>
              </w:rPr>
            </w:pPr>
          </w:p>
        </w:tc>
        <w:tc>
          <w:tcPr>
            <w:tcW w:w="1160" w:type="dxa"/>
            <w:vAlign w:val="bottom"/>
            <w:gridSpan w:val="5"/>
          </w:tcPr>
          <w:p>
            <w:pPr>
              <w:ind w:left="60"/>
              <w:spacing w:after="0" w:line="194" w:lineRule="exact"/>
              <w:rPr>
                <w:sz w:val="20"/>
                <w:szCs w:val="20"/>
                <w:color w:val="auto"/>
              </w:rPr>
            </w:pPr>
            <w:r>
              <w:rPr>
                <w:rFonts w:ascii="Arial" w:cs="Arial" w:eastAsia="Arial" w:hAnsi="Arial"/>
                <w:sz w:val="18"/>
                <w:szCs w:val="18"/>
                <w:color w:val="auto"/>
              </w:rPr>
              <w:t>Residential</w:t>
            </w:r>
          </w:p>
        </w:tc>
        <w:tc>
          <w:tcPr>
            <w:tcW w:w="1160" w:type="dxa"/>
            <w:vAlign w:val="bottom"/>
            <w:gridSpan w:val="4"/>
          </w:tcPr>
          <w:p>
            <w:pPr>
              <w:ind w:left="20"/>
              <w:spacing w:after="0" w:line="194" w:lineRule="exact"/>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6"/>
                <w:szCs w:val="16"/>
                <w:color w:val="auto"/>
              </w:rPr>
            </w:pPr>
          </w:p>
        </w:tc>
        <w:tc>
          <w:tcPr>
            <w:tcW w:w="104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560" w:type="dxa"/>
            <w:vAlign w:val="bottom"/>
          </w:tcPr>
          <w:p>
            <w:pPr>
              <w:spacing w:after="0"/>
              <w:rPr>
                <w:sz w:val="19"/>
                <w:szCs w:val="19"/>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0"/>
              </w:rPr>
              <w:t>Real Estate</w:t>
            </w:r>
          </w:p>
        </w:tc>
        <w:tc>
          <w:tcPr>
            <w:tcW w:w="240" w:type="dxa"/>
            <w:vAlign w:val="bottom"/>
            <w:gridSpan w:val="2"/>
          </w:tcPr>
          <w:p>
            <w:pPr>
              <w:spacing w:after="0"/>
              <w:rPr>
                <w:sz w:val="19"/>
                <w:szCs w:val="19"/>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2"/>
              </w:rPr>
              <w:t>Real Estate</w:t>
            </w:r>
          </w:p>
        </w:tc>
        <w:tc>
          <w:tcPr>
            <w:tcW w:w="200" w:type="dxa"/>
            <w:vAlign w:val="bottom"/>
          </w:tcPr>
          <w:p>
            <w:pPr>
              <w:spacing w:after="0"/>
              <w:rPr>
                <w:sz w:val="19"/>
                <w:szCs w:val="19"/>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8"/>
              </w:rPr>
              <w:t>and Industrial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Consumer</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Unallocated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08"/>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7"/>
          </w:tcPr>
          <w:p>
            <w:pPr>
              <w:jc w:val="right"/>
              <w:ind w:right="103"/>
              <w:spacing w:after="0"/>
              <w:rPr>
                <w:sz w:val="20"/>
                <w:szCs w:val="20"/>
                <w:color w:val="auto"/>
              </w:rPr>
            </w:pPr>
            <w:r>
              <w:rPr>
                <w:rFonts w:ascii="Arial" w:cs="Arial" w:eastAsia="Arial" w:hAnsi="Arial"/>
                <w:sz w:val="18"/>
                <w:szCs w:val="18"/>
                <w:color w:val="auto"/>
              </w:rPr>
              <w:t>(Dollars in thousands)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4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4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4"/>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2,758</w:t>
            </w:r>
          </w:p>
        </w:tc>
        <w:tc>
          <w:tcPr>
            <w:tcW w:w="4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00" w:type="dxa"/>
            <w:vAlign w:val="bottom"/>
          </w:tcPr>
          <w:p>
            <w:pPr>
              <w:jc w:val="right"/>
              <w:ind w:right="4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10,570</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245,081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150,434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494,562</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236,596</w:t>
            </w: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236,596</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246,841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153,192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236,596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w w:val="91"/>
              </w:rPr>
              <w:t>June 30, 2016</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ind w:left="40"/>
              <w:spacing w:after="0" w:line="194" w:lineRule="exact"/>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6"/>
                <w:szCs w:val="16"/>
                <w:color w:val="auto"/>
              </w:rPr>
            </w:pPr>
          </w:p>
        </w:tc>
        <w:tc>
          <w:tcPr>
            <w:tcW w:w="1080" w:type="dxa"/>
            <w:vAlign w:val="bottom"/>
            <w:gridSpan w:val="3"/>
          </w:tcPr>
          <w:p>
            <w:pPr>
              <w:spacing w:after="0" w:line="194" w:lineRule="exact"/>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6"/>
                <w:szCs w:val="16"/>
                <w:color w:val="auto"/>
              </w:rPr>
            </w:pPr>
          </w:p>
        </w:tc>
        <w:tc>
          <w:tcPr>
            <w:tcW w:w="1040" w:type="dxa"/>
            <w:vAlign w:val="bottom"/>
            <w:gridSpan w:val="3"/>
          </w:tcPr>
          <w:p>
            <w:pPr>
              <w:ind w:left="40"/>
              <w:spacing w:after="0" w:line="194"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w w:val="94"/>
              </w:rPr>
              <w:t>and Industrial</w:t>
            </w:r>
          </w:p>
        </w:tc>
        <w:tc>
          <w:tcPr>
            <w:tcW w:w="16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Consumer</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Purchased</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w w:val="90"/>
              </w:rPr>
              <w:t>Unallocated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7"/>
          </w:tcPr>
          <w:p>
            <w:pPr>
              <w:jc w:val="right"/>
              <w:ind w:right="43"/>
              <w:spacing w:after="0"/>
              <w:rPr>
                <w:sz w:val="20"/>
                <w:szCs w:val="20"/>
                <w:color w:val="auto"/>
              </w:rPr>
            </w:pPr>
            <w:r>
              <w:rPr>
                <w:rFonts w:ascii="Arial" w:cs="Arial" w:eastAsia="Arial" w:hAnsi="Arial"/>
                <w:sz w:val="18"/>
                <w:szCs w:val="18"/>
                <w:color w:val="auto"/>
              </w:rPr>
              <w:t>(Dollars in thousands)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jc w:val="right"/>
              <w:ind w:right="4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14"/>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r>
      <w:tr>
        <w:trPr>
          <w:trHeight w:val="214"/>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4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247890" cy="12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127635"/>
                    </a:xfrm>
                    <a:prstGeom prst="rect">
                      <a:avLst/>
                    </a:prstGeom>
                    <a:noFill/>
                  </pic:spPr>
                </pic:pic>
              </a:graphicData>
            </a:graphic>
          </wp:anchor>
        </w:drawing>
      </w:r>
    </w:p>
    <w:p>
      <w:pPr>
        <w:sectPr>
          <w:pgSz w:w="11900" w:h="16892" w:orient="portrait"/>
          <w:cols w:equalWidth="0" w:num="1">
            <w:col w:w="11420"/>
          </w:cols>
          <w:pgMar w:left="240" w:top="118"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24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5,039</w:t>
            </w:r>
          </w:p>
        </w:tc>
        <w:tc>
          <w:tcPr>
            <w:tcW w:w="22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1,686</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c>
          <w:tcPr>
            <w:tcW w:w="40" w:type="dxa"/>
            <w:vAlign w:val="bottom"/>
          </w:tcPr>
          <w:p>
            <w:pPr>
              <w:spacing w:after="0"/>
              <w:rPr>
                <w:sz w:val="19"/>
                <w:szCs w:val="19"/>
                <w:color w:val="auto"/>
              </w:rPr>
            </w:pP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187,930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445,623</w:t>
            </w:r>
          </w:p>
        </w:tc>
        <w:tc>
          <w:tcPr>
            <w:tcW w:w="40" w:type="dxa"/>
            <w:vAlign w:val="bottom"/>
          </w:tcPr>
          <w:p>
            <w:pPr>
              <w:spacing w:after="0"/>
              <w:rPr>
                <w:sz w:val="18"/>
                <w:szCs w:val="18"/>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8"/>
                <w:szCs w:val="18"/>
                <w:color w:val="auto"/>
              </w:rPr>
              <w:t>ASC 310-30</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239,709</w:t>
            </w: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40" w:type="dxa"/>
            <w:vAlign w:val="bottom"/>
          </w:tcPr>
          <w:p>
            <w:pPr>
              <w:spacing w:after="0"/>
              <w:rPr>
                <w:sz w:val="18"/>
                <w:szCs w:val="18"/>
                <w:color w:val="auto"/>
              </w:rPr>
            </w:pPr>
          </w:p>
        </w:tc>
      </w:tr>
      <w:tr>
        <w:trPr>
          <w:trHeight w:val="24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47"/>
        </w:trPr>
        <w:tc>
          <w:tcPr>
            <w:tcW w:w="2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0"/>
        </w:trPr>
        <w:tc>
          <w:tcPr>
            <w:tcW w:w="26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p>
    <w:p>
      <w:pPr>
        <w:sectPr>
          <w:pgSz w:w="11900" w:h="16838" w:orient="portrait"/>
          <w:cols w:equalWidth="0" w:num="1">
            <w:col w:w="11460"/>
          </w:cols>
          <w:pgMar w:left="240" w:top="125" w:right="199" w:bottom="1440" w:gutter="0" w:footer="0" w:header="0"/>
        </w:sectPr>
      </w:pPr>
    </w:p>
    <w:bookmarkStart w:id="19" w:name="page20"/>
    <w:bookmarkEnd w:id="1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1"/>
              </w:rPr>
              <w:t>March 31, 2017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June 30, 2016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400"/>
              <w:spacing w:after="0" w:line="194"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line="194" w:lineRule="exact"/>
              <w:rPr>
                <w:sz w:val="20"/>
                <w:szCs w:val="20"/>
                <w:color w:val="auto"/>
              </w:rPr>
            </w:pPr>
            <w:r>
              <w:rPr>
                <w:rFonts w:ascii="Arial" w:cs="Arial" w:eastAsia="Arial" w:hAnsi="Arial"/>
                <w:sz w:val="18"/>
                <w:szCs w:val="18"/>
                <w:color w:val="auto"/>
                <w:w w:val="91"/>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Related</w:t>
            </w: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Recorded</w:t>
            </w: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Related</w:t>
            </w:r>
          </w:p>
        </w:tc>
      </w:tr>
      <w:tr>
        <w:trPr>
          <w:trHeight w:val="227"/>
        </w:trPr>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5"/>
              </w:rPr>
              <w:t>Investment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Allowance</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5"/>
              </w:rPr>
              <w:t>Investment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Allowance</w:t>
            </w:r>
          </w:p>
        </w:tc>
        <w:tc>
          <w:tcPr>
            <w:tcW w:w="100" w:type="dxa"/>
            <w:vAlign w:val="bottom"/>
          </w:tcPr>
          <w:p>
            <w:pPr>
              <w:spacing w:after="0"/>
              <w:rPr>
                <w:sz w:val="19"/>
                <w:szCs w:val="19"/>
                <w:color w:val="auto"/>
              </w:rPr>
            </w:pPr>
          </w:p>
        </w:tc>
      </w:tr>
      <w:tr>
        <w:trPr>
          <w:trHeight w:val="208"/>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Impaired loans without 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4"/>
        </w:trPr>
        <w:tc>
          <w:tcPr>
            <w:tcW w:w="240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7"/>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6"/>
              </w:rPr>
              <w:t>Impaired loans with a valuation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4"/>
        </w:trPr>
        <w:tc>
          <w:tcPr>
            <w:tcW w:w="240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4"/>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1,812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240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4,440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4,951</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47"/>
        </w:trPr>
        <w:tc>
          <w:tcPr>
            <w:tcW w:w="2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0"/>
              </w:rPr>
              <w:t>Three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3" w:lineRule="exact"/>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line="193"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r>
      <w:tr>
        <w:trPr>
          <w:trHeight w:val="214"/>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27"/>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Investment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7"/>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4"/>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64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47"/>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940"/>
          </w:cols>
          <w:pgMar w:left="240" w:top="118" w:right="719" w:bottom="687" w:gutter="0" w:footer="0" w:header="0"/>
        </w:sectPr>
      </w:pPr>
    </w:p>
    <w:p>
      <w:pPr>
        <w:spacing w:after="0" w:line="240"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940"/>
          </w:cols>
          <w:pgMar w:left="240" w:top="118" w:right="719" w:bottom="687" w:gutter="0" w:footer="0" w:header="0"/>
          <w:type w:val="continuous"/>
        </w:sectPr>
      </w:pPr>
    </w:p>
    <w:bookmarkStart w:id="20" w:name="page21"/>
    <w:bookmarkEnd w:id="2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1"/>
              </w:rPr>
              <w:t>Nine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3"/>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3" w:lineRule="exact"/>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line="193"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line="193"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4"/>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180" w:type="dxa"/>
            <w:vAlign w:val="bottom"/>
          </w:tcPr>
          <w:p>
            <w:pPr>
              <w:spacing w:after="0"/>
              <w:rPr>
                <w:sz w:val="18"/>
                <w:szCs w:val="18"/>
                <w:color w:val="auto"/>
              </w:rPr>
            </w:pPr>
          </w:p>
        </w:tc>
      </w:tr>
      <w:tr>
        <w:trPr>
          <w:trHeight w:val="227"/>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Investment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8"/>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464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180" w:type="dxa"/>
            <w:vAlign w:val="bottom"/>
          </w:tcPr>
          <w:p>
            <w:pPr>
              <w:spacing w:after="0"/>
              <w:rPr>
                <w:sz w:val="18"/>
                <w:szCs w:val="18"/>
                <w:color w:val="auto"/>
              </w:rPr>
            </w:pPr>
          </w:p>
        </w:tc>
      </w:tr>
      <w:tr>
        <w:trPr>
          <w:trHeight w:val="247"/>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47"/>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4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0"/>
        </w:trPr>
        <w:tc>
          <w:tcPr>
            <w:tcW w:w="4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1" w:name="page22"/>
    <w:bookmarkEnd w:id="2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1"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6"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March 31, 2017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Originated Portfolio</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31"/>
              <w:spacing w:after="0" w:line="193" w:lineRule="exact"/>
              <w:rPr>
                <w:sz w:val="20"/>
                <w:szCs w:val="20"/>
                <w:color w:val="auto"/>
              </w:rPr>
            </w:pPr>
            <w:r>
              <w:rPr>
                <w:rFonts w:ascii="Arial" w:cs="Arial" w:eastAsia="Arial" w:hAnsi="Arial"/>
                <w:sz w:val="18"/>
                <w:szCs w:val="18"/>
                <w:color w:val="auto"/>
                <w:w w:val="91"/>
              </w:rPr>
              <w:t>Commercial</w:t>
            </w:r>
          </w:p>
        </w:tc>
        <w:tc>
          <w:tcPr>
            <w:tcW w:w="100" w:type="dxa"/>
            <w:vAlign w:val="bottom"/>
          </w:tcPr>
          <w:p>
            <w:pPr>
              <w:spacing w:after="0"/>
              <w:rPr>
                <w:sz w:val="16"/>
                <w:szCs w:val="16"/>
                <w:color w:val="auto"/>
              </w:rPr>
            </w:pPr>
          </w:p>
        </w:tc>
        <w:tc>
          <w:tcPr>
            <w:tcW w:w="1140" w:type="dxa"/>
            <w:vAlign w:val="bottom"/>
            <w:vMerge w:val="restart"/>
          </w:tcPr>
          <w:p>
            <w:pPr>
              <w:jc w:val="right"/>
              <w:ind w:right="51"/>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29"/>
                <w:szCs w:val="29"/>
                <w:color w:val="auto"/>
                <w:w w:val="86"/>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line="193" w:lineRule="exact"/>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5"/>
              </w:rPr>
              <w:t>Real Estate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Portfolio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150,067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625,582</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246,841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153,192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9,753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236,596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646,382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June 30, 2016</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Originated Portfolio</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31"/>
              <w:spacing w:after="0" w:line="193" w:lineRule="exact"/>
              <w:rPr>
                <w:sz w:val="20"/>
                <w:szCs w:val="20"/>
                <w:color w:val="auto"/>
              </w:rPr>
            </w:pPr>
            <w:r>
              <w:rPr>
                <w:rFonts w:ascii="Arial" w:cs="Arial" w:eastAsia="Arial" w:hAnsi="Arial"/>
                <w:sz w:val="18"/>
                <w:szCs w:val="18"/>
                <w:color w:val="auto"/>
                <w:w w:val="91"/>
              </w:rPr>
              <w:t>Commercial</w:t>
            </w:r>
          </w:p>
        </w:tc>
        <w:tc>
          <w:tcPr>
            <w:tcW w:w="100" w:type="dxa"/>
            <w:vAlign w:val="bottom"/>
          </w:tcPr>
          <w:p>
            <w:pPr>
              <w:spacing w:after="0"/>
              <w:rPr>
                <w:sz w:val="16"/>
                <w:szCs w:val="16"/>
                <w:color w:val="auto"/>
              </w:rPr>
            </w:pPr>
          </w:p>
        </w:tc>
        <w:tc>
          <w:tcPr>
            <w:tcW w:w="1140" w:type="dxa"/>
            <w:vAlign w:val="bottom"/>
            <w:vMerge w:val="restart"/>
          </w:tcPr>
          <w:p>
            <w:pPr>
              <w:jc w:val="right"/>
              <w:ind w:right="51"/>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29"/>
                <w:szCs w:val="29"/>
                <w:color w:val="auto"/>
                <w:w w:val="86"/>
                <w:vertAlign w:val="superscript"/>
              </w:rPr>
              <w:t>(1)</w:t>
            </w:r>
          </w:p>
        </w:tc>
        <w:tc>
          <w:tcPr>
            <w:tcW w:w="2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line="193" w:lineRule="exact"/>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5"/>
              </w:rPr>
              <w:t>Real Estate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Portfolio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142,451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189,616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145,758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1340" w:right="1160" w:hanging="213"/>
        <w:spacing w:after="0" w:line="270" w:lineRule="auto"/>
        <w:rPr>
          <w:sz w:val="20"/>
          <w:szCs w:val="20"/>
          <w:color w:val="auto"/>
        </w:rPr>
      </w:pPr>
      <w:r>
        <w:rPr>
          <w:rFonts w:ascii="Arial" w:cs="Arial" w:eastAsia="Arial" w:hAnsi="Arial"/>
          <w:sz w:val="18"/>
          <w:szCs w:val="18"/>
          <w:color w:val="auto"/>
        </w:rPr>
        <w:t>(1)Certain of the Company’s loans made for commercial purposes, but secured by residential collateral, are rated under the Company’s risk-rating system.</w:t>
      </w:r>
    </w:p>
    <w:p>
      <w:pPr>
        <w:spacing w:after="0" w:line="200" w:lineRule="exact"/>
        <w:rPr>
          <w:sz w:val="20"/>
          <w:szCs w:val="20"/>
          <w:color w:val="auto"/>
        </w:rPr>
      </w:pPr>
    </w:p>
    <w:p>
      <w:pPr>
        <w:spacing w:after="0" w:line="243"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The Company had consumer mortgage loans secured by residential real estate properties for which formal foreclosure proceedings were in process according to local requirements of the applicable jurisdictions totaling $728 thousand at March 31, 2017, compared to $882 thousand at June 30, 2016.</w:t>
      </w:r>
    </w:p>
    <w:p>
      <w:pPr>
        <w:sectPr>
          <w:pgSz w:w="11900" w:h="16838" w:orient="portrait"/>
          <w:cols w:equalWidth="0" w:num="1">
            <w:col w:w="11420"/>
          </w:cols>
          <w:pgMar w:left="240" w:top="118"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4"/>
              </w:rPr>
              <w:t>Three Months Ended March 31,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w w:val="92"/>
              </w:rPr>
              <w:t>Nine Months Ended March 31,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2420" w:type="dxa"/>
            <w:vAlign w:val="bottom"/>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242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w w:val="97"/>
              </w:rPr>
              <w:t>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1"/>
              <w:spacing w:after="0" w:line="193" w:lineRule="exact"/>
              <w:rPr>
                <w:sz w:val="20"/>
                <w:szCs w:val="20"/>
                <w:color w:val="auto"/>
              </w:rPr>
            </w:pPr>
            <w:r>
              <w:rPr>
                <w:rFonts w:ascii="Arial" w:cs="Arial" w:eastAsia="Arial" w:hAnsi="Arial"/>
                <w:sz w:val="18"/>
                <w:szCs w:val="18"/>
                <w:color w:val="auto"/>
                <w:w w:val="87"/>
              </w:rPr>
              <w:t>Recorded</w:t>
            </w:r>
          </w:p>
        </w:tc>
        <w:tc>
          <w:tcPr>
            <w:tcW w:w="240" w:type="dxa"/>
            <w:vAlign w:val="bottom"/>
          </w:tcPr>
          <w:p>
            <w:pPr>
              <w:spacing w:after="0"/>
              <w:rPr>
                <w:sz w:val="16"/>
                <w:szCs w:val="16"/>
                <w:color w:val="auto"/>
              </w:rPr>
            </w:pPr>
          </w:p>
        </w:tc>
        <w:tc>
          <w:tcPr>
            <w:tcW w:w="1160" w:type="dxa"/>
            <w:vAlign w:val="bottom"/>
            <w:gridSpan w:val="2"/>
          </w:tcPr>
          <w:p>
            <w:pPr>
              <w:jc w:val="right"/>
              <w:ind w:right="320"/>
              <w:spacing w:after="0" w:line="193" w:lineRule="exact"/>
              <w:rPr>
                <w:sz w:val="20"/>
                <w:szCs w:val="20"/>
                <w:color w:val="auto"/>
              </w:rPr>
            </w:pPr>
            <w:r>
              <w:rPr>
                <w:rFonts w:ascii="Arial" w:cs="Arial" w:eastAsia="Arial" w:hAnsi="Arial"/>
                <w:sz w:val="18"/>
                <w:szCs w:val="18"/>
                <w:color w:val="auto"/>
                <w:w w:val="97"/>
              </w:rPr>
              <w:t>Number of</w:t>
            </w:r>
          </w:p>
        </w:tc>
        <w:tc>
          <w:tcPr>
            <w:tcW w:w="100" w:type="dxa"/>
            <w:vAlign w:val="bottom"/>
          </w:tcPr>
          <w:p>
            <w:pPr>
              <w:spacing w:after="0"/>
              <w:rPr>
                <w:sz w:val="16"/>
                <w:szCs w:val="16"/>
                <w:color w:val="auto"/>
              </w:rPr>
            </w:pPr>
          </w:p>
        </w:tc>
        <w:tc>
          <w:tcPr>
            <w:tcW w:w="820" w:type="dxa"/>
            <w:vAlign w:val="bottom"/>
          </w:tcPr>
          <w:p>
            <w:pPr>
              <w:jc w:val="center"/>
              <w:ind w:right="11"/>
              <w:spacing w:after="0" w:line="193" w:lineRule="exact"/>
              <w:rPr>
                <w:sz w:val="20"/>
                <w:szCs w:val="20"/>
                <w:color w:val="auto"/>
              </w:rPr>
            </w:pPr>
            <w:r>
              <w:rPr>
                <w:rFonts w:ascii="Arial" w:cs="Arial" w:eastAsia="Arial" w:hAnsi="Arial"/>
                <w:sz w:val="18"/>
                <w:szCs w:val="18"/>
                <w:color w:val="auto"/>
                <w:w w:val="87"/>
              </w:rPr>
              <w:t>Recorded</w:t>
            </w:r>
          </w:p>
        </w:tc>
        <w:tc>
          <w:tcPr>
            <w:tcW w:w="240" w:type="dxa"/>
            <w:vAlign w:val="bottom"/>
          </w:tcPr>
          <w:p>
            <w:pPr>
              <w:spacing w:after="0"/>
              <w:rPr>
                <w:sz w:val="16"/>
                <w:szCs w:val="16"/>
                <w:color w:val="auto"/>
              </w:rPr>
            </w:pPr>
          </w:p>
        </w:tc>
        <w:tc>
          <w:tcPr>
            <w:tcW w:w="980" w:type="dxa"/>
            <w:vAlign w:val="bottom"/>
          </w:tcPr>
          <w:p>
            <w:pPr>
              <w:jc w:val="right"/>
              <w:ind w:right="32"/>
              <w:spacing w:after="0" w:line="193" w:lineRule="exact"/>
              <w:rPr>
                <w:sz w:val="20"/>
                <w:szCs w:val="20"/>
                <w:color w:val="auto"/>
              </w:rPr>
            </w:pPr>
            <w:r>
              <w:rPr>
                <w:rFonts w:ascii="Arial" w:cs="Arial" w:eastAsia="Arial" w:hAnsi="Arial"/>
                <w:sz w:val="18"/>
                <w:szCs w:val="18"/>
                <w:color w:val="auto"/>
                <w:w w:val="99"/>
              </w:rPr>
              <w:t>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1"/>
              <w:spacing w:after="0" w:line="193" w:lineRule="exact"/>
              <w:rPr>
                <w:sz w:val="20"/>
                <w:szCs w:val="20"/>
                <w:color w:val="auto"/>
              </w:rPr>
            </w:pPr>
            <w:r>
              <w:rPr>
                <w:rFonts w:ascii="Arial" w:cs="Arial" w:eastAsia="Arial" w:hAnsi="Arial"/>
                <w:sz w:val="18"/>
                <w:szCs w:val="18"/>
                <w:color w:val="auto"/>
                <w:w w:val="84"/>
              </w:rPr>
              <w:t>Recorded</w:t>
            </w:r>
          </w:p>
        </w:tc>
        <w:tc>
          <w:tcPr>
            <w:tcW w:w="200" w:type="dxa"/>
            <w:vAlign w:val="bottom"/>
          </w:tcPr>
          <w:p>
            <w:pPr>
              <w:spacing w:after="0"/>
              <w:rPr>
                <w:sz w:val="16"/>
                <w:szCs w:val="16"/>
                <w:color w:val="auto"/>
              </w:rPr>
            </w:pPr>
          </w:p>
        </w:tc>
        <w:tc>
          <w:tcPr>
            <w:tcW w:w="1120" w:type="dxa"/>
            <w:vAlign w:val="bottom"/>
            <w:gridSpan w:val="2"/>
          </w:tcPr>
          <w:p>
            <w:pPr>
              <w:jc w:val="right"/>
              <w:ind w:right="280"/>
              <w:spacing w:after="0" w:line="193" w:lineRule="exact"/>
              <w:rPr>
                <w:sz w:val="20"/>
                <w:szCs w:val="20"/>
                <w:color w:val="auto"/>
              </w:rPr>
            </w:pPr>
            <w:r>
              <w:rPr>
                <w:rFonts w:ascii="Arial" w:cs="Arial" w:eastAsia="Arial" w:hAnsi="Arial"/>
                <w:sz w:val="18"/>
                <w:szCs w:val="18"/>
                <w:color w:val="auto"/>
                <w:w w:val="97"/>
              </w:rPr>
              <w:t>Number of</w:t>
            </w:r>
          </w:p>
        </w:tc>
        <w:tc>
          <w:tcPr>
            <w:tcW w:w="100" w:type="dxa"/>
            <w:vAlign w:val="bottom"/>
          </w:tcPr>
          <w:p>
            <w:pPr>
              <w:spacing w:after="0"/>
              <w:rPr>
                <w:sz w:val="16"/>
                <w:szCs w:val="16"/>
                <w:color w:val="auto"/>
              </w:rPr>
            </w:pPr>
          </w:p>
        </w:tc>
        <w:tc>
          <w:tcPr>
            <w:tcW w:w="800" w:type="dxa"/>
            <w:vAlign w:val="bottom"/>
          </w:tcPr>
          <w:p>
            <w:pPr>
              <w:jc w:val="right"/>
              <w:ind w:right="31"/>
              <w:spacing w:after="0" w:line="193" w:lineRule="exact"/>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6"/>
                <w:szCs w:val="16"/>
                <w:color w:val="auto"/>
              </w:rPr>
            </w:pPr>
          </w:p>
        </w:tc>
      </w:tr>
      <w:tr>
        <w:trPr>
          <w:trHeight w:val="227"/>
        </w:trPr>
        <w:tc>
          <w:tcPr>
            <w:tcW w:w="24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Contracts</w:t>
            </w: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Investment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r>
      <w:tr>
        <w:trPr>
          <w:trHeight w:val="209"/>
        </w:trPr>
        <w:tc>
          <w:tcPr>
            <w:tcW w:w="2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(Dollars in</w:t>
            </w: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color w:val="auto"/>
                <w:w w:val="73"/>
              </w:rPr>
              <w:t>thousands)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2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1,833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2,626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0"/>
        </w:trPr>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2017</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2016</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2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line="193" w:lineRule="exact"/>
              <w:rPr>
                <w:sz w:val="20"/>
                <w:szCs w:val="20"/>
                <w:color w:val="auto"/>
              </w:rPr>
            </w:pPr>
            <w:r>
              <w:rPr>
                <w:rFonts w:ascii="Arial" w:cs="Arial" w:eastAsia="Arial" w:hAnsi="Arial"/>
                <w:sz w:val="18"/>
                <w:szCs w:val="18"/>
                <w:color w:val="auto"/>
                <w:w w:val="87"/>
              </w:rPr>
              <w:t>Recorded</w:t>
            </w:r>
          </w:p>
        </w:tc>
        <w:tc>
          <w:tcPr>
            <w:tcW w:w="1180" w:type="dxa"/>
            <w:vAlign w:val="bottom"/>
            <w:gridSpan w:val="2"/>
          </w:tcPr>
          <w:p>
            <w:pPr>
              <w:jc w:val="center"/>
              <w:spacing w:after="0" w:line="193"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20"/>
              <w:spacing w:after="0" w:line="193" w:lineRule="exact"/>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6"/>
                <w:szCs w:val="16"/>
                <w:color w:val="auto"/>
              </w:rPr>
            </w:pPr>
          </w:p>
        </w:tc>
        <w:tc>
          <w:tcPr>
            <w:tcW w:w="1080" w:type="dxa"/>
            <w:vAlign w:val="bottom"/>
          </w:tcPr>
          <w:p>
            <w:pPr>
              <w:jc w:val="center"/>
              <w:ind w:right="31"/>
              <w:spacing w:after="0" w:line="193"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14"/>
        </w:trPr>
        <w:tc>
          <w:tcPr>
            <w:tcW w:w="2520" w:type="dxa"/>
            <w:vAlign w:val="bottom"/>
          </w:tcPr>
          <w:p>
            <w:pPr>
              <w:spacing w:after="0"/>
              <w:rPr>
                <w:sz w:val="18"/>
                <w:szCs w:val="18"/>
                <w:color w:val="auto"/>
              </w:rPr>
            </w:pPr>
          </w:p>
        </w:tc>
        <w:tc>
          <w:tcPr>
            <w:tcW w:w="1000" w:type="dxa"/>
            <w:vAlign w:val="bottom"/>
          </w:tcPr>
          <w:p>
            <w:pPr>
              <w:jc w:val="center"/>
              <w:ind w:left="111"/>
              <w:spacing w:after="0"/>
              <w:rPr>
                <w:sz w:val="20"/>
                <w:szCs w:val="20"/>
                <w:color w:val="auto"/>
              </w:rPr>
            </w:pPr>
            <w:r>
              <w:rPr>
                <w:rFonts w:ascii="Arial" w:cs="Arial" w:eastAsia="Arial" w:hAnsi="Arial"/>
                <w:sz w:val="18"/>
                <w:szCs w:val="18"/>
                <w:color w:val="auto"/>
                <w:w w:val="90"/>
              </w:rPr>
              <w:t>Number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Investment</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1040" w:type="dxa"/>
            <w:vAlign w:val="bottom"/>
          </w:tcPr>
          <w:p>
            <w:pPr>
              <w:jc w:val="center"/>
              <w:ind w:left="51"/>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r>
      <w:tr>
        <w:trPr>
          <w:trHeight w:val="214"/>
        </w:trPr>
        <w:tc>
          <w:tcPr>
            <w:tcW w:w="2520" w:type="dxa"/>
            <w:vAlign w:val="bottom"/>
          </w:tcPr>
          <w:p>
            <w:pPr>
              <w:spacing w:after="0"/>
              <w:rPr>
                <w:sz w:val="18"/>
                <w:szCs w:val="18"/>
                <w:color w:val="auto"/>
              </w:rPr>
            </w:pPr>
          </w:p>
        </w:tc>
        <w:tc>
          <w:tcPr>
            <w:tcW w:w="1000" w:type="dxa"/>
            <w:vAlign w:val="bottom"/>
          </w:tcPr>
          <w:p>
            <w:pPr>
              <w:jc w:val="center"/>
              <w:ind w:left="111"/>
              <w:spacing w:after="0"/>
              <w:rPr>
                <w:sz w:val="20"/>
                <w:szCs w:val="20"/>
                <w:color w:val="auto"/>
              </w:rPr>
            </w:pPr>
            <w:r>
              <w:rPr>
                <w:rFonts w:ascii="Arial" w:cs="Arial" w:eastAsia="Arial" w:hAnsi="Arial"/>
                <w:sz w:val="18"/>
                <w:szCs w:val="18"/>
                <w:color w:val="auto"/>
                <w:w w:val="88"/>
              </w:rPr>
              <w:t>Contracts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780" w:type="dxa"/>
            <w:vAlign w:val="bottom"/>
          </w:tcPr>
          <w:p>
            <w:pPr>
              <w:jc w:val="center"/>
              <w:ind w:left="335"/>
              <w:spacing w:after="0"/>
              <w:rPr>
                <w:sz w:val="20"/>
                <w:szCs w:val="20"/>
                <w:color w:val="auto"/>
              </w:rPr>
            </w:pPr>
            <w:r>
              <w:rPr>
                <w:rFonts w:ascii="Arial" w:cs="Arial" w:eastAsia="Arial" w:hAnsi="Arial"/>
                <w:sz w:val="18"/>
                <w:szCs w:val="18"/>
                <w:color w:val="auto"/>
                <w:w w:val="85"/>
              </w:rPr>
              <w:t>Post-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71"/>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Pre-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Post-</w:t>
            </w:r>
          </w:p>
        </w:tc>
      </w:tr>
      <w:tr>
        <w:trPr>
          <w:trHeight w:val="227"/>
        </w:trPr>
        <w:tc>
          <w:tcPr>
            <w:tcW w:w="2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5"/>
              </w:rPr>
              <w:t>Modification</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5"/>
              </w:rPr>
              <w:t>Modification</w:t>
            </w:r>
          </w:p>
        </w:tc>
        <w:tc>
          <w:tcPr>
            <w:tcW w:w="100" w:type="dxa"/>
            <w:vAlign w:val="bottom"/>
          </w:tcPr>
          <w:p>
            <w:pPr>
              <w:spacing w:after="0"/>
              <w:rPr>
                <w:sz w:val="19"/>
                <w:szCs w:val="19"/>
                <w:color w:val="auto"/>
              </w:rPr>
            </w:pPr>
          </w:p>
        </w:tc>
      </w:tr>
      <w:tr>
        <w:trPr>
          <w:trHeight w:val="20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center"/>
              <w:ind w:left="55"/>
              <w:spacing w:after="0"/>
              <w:rPr>
                <w:sz w:val="20"/>
                <w:szCs w:val="20"/>
                <w:color w:val="auto"/>
              </w:rPr>
            </w:pPr>
            <w:r>
              <w:rPr>
                <w:rFonts w:ascii="Arial" w:cs="Arial" w:eastAsia="Arial" w:hAnsi="Arial"/>
                <w:sz w:val="18"/>
                <w:szCs w:val="18"/>
                <w:color w:val="auto"/>
                <w:w w:val="90"/>
              </w:rPr>
              <w:t>(Dollars in thousands)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780" w:type="dxa"/>
            <w:vAlign w:val="bottom"/>
          </w:tcPr>
          <w:p>
            <w:pPr>
              <w:jc w:val="right"/>
              <w:ind w:right="615"/>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4"/>
        </w:trPr>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4"/>
        </w:trPr>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07"/>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0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7"/>
        </w:trPr>
        <w:tc>
          <w:tcPr>
            <w:tcW w:w="2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1,833</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21"/>
        </w:trPr>
        <w:tc>
          <w:tcPr>
            <w:tcW w:w="25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8"/>
                <w:szCs w:val="18"/>
                <w:color w:val="auto"/>
                <w:w w:val="91"/>
              </w:rPr>
              <w:t>Nine Months Ended March 31,</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5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2016</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2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line="193" w:lineRule="exact"/>
              <w:rPr>
                <w:sz w:val="20"/>
                <w:szCs w:val="20"/>
                <w:color w:val="auto"/>
              </w:rPr>
            </w:pPr>
            <w:r>
              <w:rPr>
                <w:rFonts w:ascii="Arial" w:cs="Arial" w:eastAsia="Arial" w:hAnsi="Arial"/>
                <w:sz w:val="18"/>
                <w:szCs w:val="18"/>
                <w:color w:val="auto"/>
                <w:w w:val="87"/>
              </w:rPr>
              <w:t>Recorded</w:t>
            </w:r>
          </w:p>
        </w:tc>
        <w:tc>
          <w:tcPr>
            <w:tcW w:w="1180" w:type="dxa"/>
            <w:vAlign w:val="bottom"/>
            <w:gridSpan w:val="2"/>
          </w:tcPr>
          <w:p>
            <w:pPr>
              <w:jc w:val="center"/>
              <w:spacing w:after="0" w:line="193"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20"/>
              <w:spacing w:after="0" w:line="193" w:lineRule="exact"/>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6"/>
                <w:szCs w:val="16"/>
                <w:color w:val="auto"/>
              </w:rPr>
            </w:pPr>
          </w:p>
        </w:tc>
        <w:tc>
          <w:tcPr>
            <w:tcW w:w="1080" w:type="dxa"/>
            <w:vAlign w:val="bottom"/>
          </w:tcPr>
          <w:p>
            <w:pPr>
              <w:jc w:val="center"/>
              <w:ind w:right="31"/>
              <w:spacing w:after="0" w:line="193"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14"/>
        </w:trPr>
        <w:tc>
          <w:tcPr>
            <w:tcW w:w="2520" w:type="dxa"/>
            <w:vAlign w:val="bottom"/>
          </w:tcPr>
          <w:p>
            <w:pPr>
              <w:spacing w:after="0"/>
              <w:rPr>
                <w:sz w:val="18"/>
                <w:szCs w:val="18"/>
                <w:color w:val="auto"/>
              </w:rPr>
            </w:pPr>
          </w:p>
        </w:tc>
        <w:tc>
          <w:tcPr>
            <w:tcW w:w="1000" w:type="dxa"/>
            <w:vAlign w:val="bottom"/>
          </w:tcPr>
          <w:p>
            <w:pPr>
              <w:jc w:val="center"/>
              <w:ind w:left="111"/>
              <w:spacing w:after="0"/>
              <w:rPr>
                <w:sz w:val="20"/>
                <w:szCs w:val="20"/>
                <w:color w:val="auto"/>
              </w:rPr>
            </w:pPr>
            <w:r>
              <w:rPr>
                <w:rFonts w:ascii="Arial" w:cs="Arial" w:eastAsia="Arial" w:hAnsi="Arial"/>
                <w:sz w:val="18"/>
                <w:szCs w:val="18"/>
                <w:color w:val="auto"/>
                <w:w w:val="90"/>
              </w:rPr>
              <w:t>Number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Investment</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1040" w:type="dxa"/>
            <w:vAlign w:val="bottom"/>
          </w:tcPr>
          <w:p>
            <w:pPr>
              <w:jc w:val="center"/>
              <w:ind w:left="51"/>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r>
      <w:tr>
        <w:trPr>
          <w:trHeight w:val="214"/>
        </w:trPr>
        <w:tc>
          <w:tcPr>
            <w:tcW w:w="2520" w:type="dxa"/>
            <w:vAlign w:val="bottom"/>
          </w:tcPr>
          <w:p>
            <w:pPr>
              <w:spacing w:after="0"/>
              <w:rPr>
                <w:sz w:val="18"/>
                <w:szCs w:val="18"/>
                <w:color w:val="auto"/>
              </w:rPr>
            </w:pPr>
          </w:p>
        </w:tc>
        <w:tc>
          <w:tcPr>
            <w:tcW w:w="1000" w:type="dxa"/>
            <w:vAlign w:val="bottom"/>
          </w:tcPr>
          <w:p>
            <w:pPr>
              <w:jc w:val="center"/>
              <w:ind w:left="111"/>
              <w:spacing w:after="0"/>
              <w:rPr>
                <w:sz w:val="20"/>
                <w:szCs w:val="20"/>
                <w:color w:val="auto"/>
              </w:rPr>
            </w:pPr>
            <w:r>
              <w:rPr>
                <w:rFonts w:ascii="Arial" w:cs="Arial" w:eastAsia="Arial" w:hAnsi="Arial"/>
                <w:sz w:val="18"/>
                <w:szCs w:val="18"/>
                <w:color w:val="auto"/>
                <w:w w:val="88"/>
              </w:rPr>
              <w:t>Contracts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780" w:type="dxa"/>
            <w:vAlign w:val="bottom"/>
          </w:tcPr>
          <w:p>
            <w:pPr>
              <w:jc w:val="center"/>
              <w:ind w:left="335"/>
              <w:spacing w:after="0"/>
              <w:rPr>
                <w:sz w:val="20"/>
                <w:szCs w:val="20"/>
                <w:color w:val="auto"/>
              </w:rPr>
            </w:pPr>
            <w:r>
              <w:rPr>
                <w:rFonts w:ascii="Arial" w:cs="Arial" w:eastAsia="Arial" w:hAnsi="Arial"/>
                <w:sz w:val="18"/>
                <w:szCs w:val="18"/>
                <w:color w:val="auto"/>
                <w:w w:val="85"/>
              </w:rPr>
              <w:t>Post-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71"/>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Pre-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Post-</w:t>
            </w:r>
          </w:p>
        </w:tc>
      </w:tr>
      <w:tr>
        <w:trPr>
          <w:trHeight w:val="227"/>
        </w:trPr>
        <w:tc>
          <w:tcPr>
            <w:tcW w:w="2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5"/>
              </w:rPr>
              <w:t>Modification</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5"/>
              </w:rPr>
              <w:t>Modification</w:t>
            </w:r>
          </w:p>
        </w:tc>
        <w:tc>
          <w:tcPr>
            <w:tcW w:w="100" w:type="dxa"/>
            <w:vAlign w:val="bottom"/>
          </w:tcPr>
          <w:p>
            <w:pPr>
              <w:spacing w:after="0"/>
              <w:rPr>
                <w:sz w:val="19"/>
                <w:szCs w:val="19"/>
                <w:color w:val="auto"/>
              </w:rPr>
            </w:pPr>
          </w:p>
        </w:tc>
      </w:tr>
      <w:tr>
        <w:trPr>
          <w:trHeight w:val="208"/>
        </w:trPr>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center"/>
              <w:ind w:left="55"/>
              <w:spacing w:after="0"/>
              <w:rPr>
                <w:sz w:val="20"/>
                <w:szCs w:val="20"/>
                <w:color w:val="auto"/>
              </w:rPr>
            </w:pPr>
            <w:r>
              <w:rPr>
                <w:rFonts w:ascii="Arial" w:cs="Arial" w:eastAsia="Arial" w:hAnsi="Arial"/>
                <w:sz w:val="18"/>
                <w:szCs w:val="18"/>
                <w:color w:val="auto"/>
                <w:w w:val="90"/>
              </w:rPr>
              <w:t>(Dollars in thousands)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780" w:type="dxa"/>
            <w:vAlign w:val="bottom"/>
          </w:tcPr>
          <w:p>
            <w:pPr>
              <w:jc w:val="right"/>
              <w:ind w:right="615"/>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1,009</w:t>
            </w: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4"/>
        </w:trPr>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4"/>
        </w:trPr>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07"/>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1,324</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1,302</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0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1,302</w:t>
            </w: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7"/>
        </w:trPr>
        <w:tc>
          <w:tcPr>
            <w:tcW w:w="2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2,626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considers TDRs past due 90 days or more to be in payment default. No loans modified in a TDR in the last twelve months defaulted during the three and nine months ended March 31, 2017. As of March 31, 2017, there were no further commitments to lend to borrowers associated with loans modified in a TDR.</w:t>
      </w:r>
    </w:p>
    <w:p>
      <w:pPr>
        <w:sectPr>
          <w:pgSz w:w="11900" w:h="16838" w:orient="portrait"/>
          <w:cols w:equalWidth="0" w:num="1">
            <w:col w:w="11420"/>
          </w:cols>
          <w:pgMar w:left="240" w:top="118" w:right="239" w:bottom="794"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794" w:gutter="0" w:footer="0" w:header="0"/>
          <w:type w:val="continuous"/>
        </w:sectPr>
      </w:pPr>
    </w:p>
    <w:bookmarkStart w:id="23" w:name="page24"/>
    <w:bookmarkEnd w:id="2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Three Months Ended</w:t>
            </w: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27"/>
        </w:trPr>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1"/>
              </w:rPr>
              <w:t>March 31, 2017</w:t>
            </w:r>
          </w:p>
        </w:tc>
        <w:tc>
          <w:tcPr>
            <w:tcW w:w="1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2"/>
              </w:rPr>
              <w:t>March 31, 2016</w:t>
            </w:r>
          </w:p>
        </w:tc>
        <w:tc>
          <w:tcPr>
            <w:tcW w:w="100" w:type="dxa"/>
            <w:vAlign w:val="bottom"/>
          </w:tcPr>
          <w:p>
            <w:pPr>
              <w:spacing w:after="0"/>
              <w:rPr>
                <w:sz w:val="19"/>
                <w:szCs w:val="19"/>
                <w:color w:val="auto"/>
              </w:rPr>
            </w:pPr>
          </w:p>
        </w:tc>
      </w:tr>
      <w:tr>
        <w:trPr>
          <w:trHeight w:val="208"/>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4"/>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32,065</w:t>
            </w: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13,146</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31,595</w:t>
            </w: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rPr>
              <w:t>Accretable yield</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(5,285)</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(9,661)</w:t>
            </w:r>
          </w:p>
        </w:tc>
      </w:tr>
      <w:tr>
        <w:trPr>
          <w:trHeight w:val="247"/>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3"/>
        </w:trPr>
        <w:tc>
          <w:tcPr>
            <w:tcW w:w="4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8"/>
                <w:szCs w:val="18"/>
                <w:color w:val="auto"/>
                <w:w w:val="91"/>
              </w:rPr>
              <w:t>Nine Months Ended</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Nine Months Ended</w:t>
            </w:r>
          </w:p>
        </w:tc>
      </w:tr>
      <w:tr>
        <w:trPr>
          <w:trHeight w:val="227"/>
        </w:trPr>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1"/>
              </w:rPr>
              <w:t>March 31, 2017</w:t>
            </w:r>
          </w:p>
        </w:tc>
        <w:tc>
          <w:tcPr>
            <w:tcW w:w="1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2"/>
              </w:rPr>
              <w:t>March 31, 2016</w:t>
            </w:r>
          </w:p>
        </w:tc>
        <w:tc>
          <w:tcPr>
            <w:tcW w:w="100" w:type="dxa"/>
            <w:vAlign w:val="bottom"/>
          </w:tcPr>
          <w:p>
            <w:pPr>
              <w:spacing w:after="0"/>
              <w:rPr>
                <w:sz w:val="19"/>
                <w:szCs w:val="19"/>
                <w:color w:val="auto"/>
              </w:rPr>
            </w:pPr>
          </w:p>
        </w:tc>
      </w:tr>
      <w:tr>
        <w:trPr>
          <w:trHeight w:val="208"/>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4"/>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123,492</w:t>
            </w: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(3,538)</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122,240</w:t>
            </w: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rPr>
              <w:t>Accretable yield</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(36,625)</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(40,995)</w:t>
            </w:r>
          </w:p>
        </w:tc>
      </w:tr>
      <w:tr>
        <w:trPr>
          <w:trHeight w:val="247"/>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As of and for the</w:t>
            </w:r>
          </w:p>
        </w:tc>
      </w:tr>
      <w:tr>
        <w:trPr>
          <w:trHeight w:val="214"/>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As of and for the</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Nine</w:t>
            </w:r>
          </w:p>
        </w:tc>
      </w:tr>
      <w:tr>
        <w:trPr>
          <w:trHeight w:val="214"/>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8"/>
                <w:szCs w:val="18"/>
                <w:color w:val="auto"/>
                <w:w w:val="89"/>
              </w:rPr>
              <w:t>Three Months Ended</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Months Ended</w:t>
            </w:r>
          </w:p>
        </w:tc>
      </w:tr>
      <w:tr>
        <w:trPr>
          <w:trHeight w:val="227"/>
        </w:trPr>
        <w:tc>
          <w:tcPr>
            <w:tcW w:w="4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1"/>
              </w:rPr>
              <w:t>March 31, 2017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1"/>
              </w:rPr>
              <w:t>March 31, 2017</w:t>
            </w:r>
          </w:p>
        </w:tc>
        <w:tc>
          <w:tcPr>
            <w:tcW w:w="100" w:type="dxa"/>
            <w:vAlign w:val="bottom"/>
          </w:tcPr>
          <w:p>
            <w:pPr>
              <w:spacing w:after="0"/>
              <w:rPr>
                <w:sz w:val="19"/>
                <w:szCs w:val="19"/>
                <w:color w:val="auto"/>
              </w:rPr>
            </w:pPr>
          </w:p>
        </w:tc>
      </w:tr>
      <w:tr>
        <w:trPr>
          <w:trHeight w:val="208"/>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(Dollars in thousands)</w:t>
            </w:r>
          </w:p>
        </w:tc>
      </w:tr>
      <w:tr>
        <w:trPr>
          <w:trHeight w:val="21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7,492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r>
      <w:tr>
        <w:trPr>
          <w:trHeight w:val="227"/>
        </w:trPr>
        <w:tc>
          <w:tcPr>
            <w:tcW w:w="6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4"/>
              </w:rPr>
              <w:t>March 31, 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2"/>
              </w:rPr>
              <w:t>March 31, 2016</w:t>
            </w:r>
          </w:p>
        </w:tc>
        <w:tc>
          <w:tcPr>
            <w:tcW w:w="100" w:type="dxa"/>
            <w:vAlign w:val="bottom"/>
          </w:tcPr>
          <w:p>
            <w:pPr>
              <w:spacing w:after="0"/>
              <w:rPr>
                <w:sz w:val="19"/>
                <w:szCs w:val="19"/>
                <w:color w:val="auto"/>
              </w:rPr>
            </w:pPr>
          </w:p>
        </w:tc>
      </w:tr>
      <w:tr>
        <w:trPr>
          <w:trHeight w:val="208"/>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6"/>
          </w:tcPr>
          <w:p>
            <w:pPr>
              <w:jc w:val="right"/>
              <w:ind w:right="960"/>
              <w:spacing w:after="0"/>
              <w:rPr>
                <w:sz w:val="20"/>
                <w:szCs w:val="20"/>
                <w:color w:val="auto"/>
              </w:rPr>
            </w:pPr>
            <w:r>
              <w:rPr>
                <w:rFonts w:ascii="Arial" w:cs="Arial" w:eastAsia="Arial" w:hAnsi="Arial"/>
                <w:sz w:val="18"/>
                <w:szCs w:val="18"/>
                <w:color w:val="auto"/>
              </w:rPr>
              <w:t>(Dollars in thousands)</w:t>
            </w: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124,093</w:t>
            </w:r>
          </w:p>
        </w:tc>
      </w:tr>
      <w:tr>
        <w:trPr>
          <w:trHeight w:val="214"/>
        </w:trPr>
        <w:tc>
          <w:tcPr>
            <w:tcW w:w="690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9,661</w:t>
            </w: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(4,596)</w:t>
            </w:r>
          </w:p>
        </w:tc>
      </w:tr>
      <w:tr>
        <w:trPr>
          <w:trHeight w:val="214"/>
        </w:trPr>
        <w:tc>
          <w:tcPr>
            <w:tcW w:w="690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w:t>
            </w:r>
          </w:p>
        </w:tc>
      </w:tr>
      <w:tr>
        <w:trPr>
          <w:trHeight w:val="20"/>
        </w:trPr>
        <w:tc>
          <w:tcPr>
            <w:tcW w:w="6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125,215</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126,290</w:t>
            </w:r>
          </w:p>
        </w:tc>
      </w:tr>
      <w:tr>
        <w:trPr>
          <w:trHeight w:val="20"/>
        </w:trPr>
        <w:tc>
          <w:tcPr>
            <w:tcW w:w="69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690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24"/>
                <w:szCs w:val="24"/>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Nine Months Ended</w:t>
            </w:r>
          </w:p>
        </w:tc>
      </w:tr>
      <w:tr>
        <w:trPr>
          <w:trHeight w:val="227"/>
        </w:trPr>
        <w:tc>
          <w:tcPr>
            <w:tcW w:w="6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4"/>
              </w:rPr>
              <w:t>March 31, 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2"/>
              </w:rPr>
              <w:t>March 31, 2016</w:t>
            </w:r>
          </w:p>
        </w:tc>
        <w:tc>
          <w:tcPr>
            <w:tcW w:w="100" w:type="dxa"/>
            <w:vAlign w:val="bottom"/>
          </w:tcPr>
          <w:p>
            <w:pPr>
              <w:spacing w:after="0"/>
              <w:rPr>
                <w:sz w:val="19"/>
                <w:szCs w:val="19"/>
                <w:color w:val="auto"/>
              </w:rPr>
            </w:pPr>
          </w:p>
        </w:tc>
      </w:tr>
      <w:tr>
        <w:trPr>
          <w:trHeight w:val="208"/>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6"/>
          </w:tcPr>
          <w:p>
            <w:pPr>
              <w:jc w:val="right"/>
              <w:ind w:right="960"/>
              <w:spacing w:after="0"/>
              <w:rPr>
                <w:sz w:val="20"/>
                <w:szCs w:val="20"/>
                <w:color w:val="auto"/>
              </w:rPr>
            </w:pPr>
            <w:r>
              <w:rPr>
                <w:rFonts w:ascii="Arial" w:cs="Arial" w:eastAsia="Arial" w:hAnsi="Arial"/>
                <w:sz w:val="18"/>
                <w:szCs w:val="18"/>
                <w:color w:val="auto"/>
              </w:rPr>
              <w:t>(Dollars in thousands)</w:t>
            </w: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111,449</w:t>
            </w:r>
          </w:p>
        </w:tc>
      </w:tr>
      <w:tr>
        <w:trPr>
          <w:trHeight w:val="214"/>
        </w:trPr>
        <w:tc>
          <w:tcPr>
            <w:tcW w:w="690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36,625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40,995</w:t>
            </w: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(12,236)</w:t>
            </w:r>
          </w:p>
        </w:tc>
      </w:tr>
      <w:tr>
        <w:trPr>
          <w:trHeight w:val="214"/>
        </w:trPr>
        <w:tc>
          <w:tcPr>
            <w:tcW w:w="690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4,284</w:t>
            </w: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(18,202)</w:t>
            </w:r>
          </w:p>
        </w:tc>
      </w:tr>
      <w:tr>
        <w:trPr>
          <w:trHeight w:val="20"/>
        </w:trPr>
        <w:tc>
          <w:tcPr>
            <w:tcW w:w="69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125,215</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126,290</w:t>
            </w: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March 31, 2017 (1)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9"/>
              </w:rPr>
              <w:t>June 30, 2016 (1)</w:t>
            </w:r>
          </w:p>
        </w:tc>
        <w:tc>
          <w:tcPr>
            <w:tcW w:w="80" w:type="dxa"/>
            <w:vAlign w:val="bottom"/>
          </w:tcPr>
          <w:p>
            <w:pPr>
              <w:spacing w:after="0"/>
              <w:rPr>
                <w:sz w:val="19"/>
                <w:szCs w:val="19"/>
                <w:color w:val="auto"/>
              </w:rPr>
            </w:pPr>
          </w:p>
        </w:tc>
      </w:tr>
      <w:tr>
        <w:trPr>
          <w:trHeight w:val="208"/>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5"/>
          </w:tcPr>
          <w:p>
            <w:pPr>
              <w:ind w:left="760"/>
              <w:spacing w:after="0"/>
              <w:rPr>
                <w:sz w:val="20"/>
                <w:szCs w:val="20"/>
                <w:color w:val="auto"/>
              </w:rPr>
            </w:pPr>
            <w:r>
              <w:rPr>
                <w:rFonts w:ascii="Arial" w:cs="Arial" w:eastAsia="Arial" w:hAnsi="Arial"/>
                <w:sz w:val="18"/>
                <w:szCs w:val="18"/>
                <w:color w:val="auto"/>
              </w:rPr>
              <w:t>(Dollars in thousands)</w:t>
            </w: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264,757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267,985</w:t>
            </w:r>
          </w:p>
        </w:tc>
      </w:tr>
      <w:tr>
        <w:trPr>
          <w:trHeight w:val="227"/>
        </w:trPr>
        <w:tc>
          <w:tcPr>
            <w:tcW w:w="3780" w:type="dxa"/>
            <w:vAlign w:val="bottom"/>
          </w:tcPr>
          <w:p>
            <w:pPr>
              <w:spacing w:after="0"/>
              <w:rPr>
                <w:sz w:val="20"/>
                <w:szCs w:val="20"/>
                <w:color w:val="auto"/>
              </w:rPr>
            </w:pPr>
            <w:r>
              <w:rPr>
                <w:rFonts w:ascii="Arial" w:cs="Arial" w:eastAsia="Arial" w:hAnsi="Arial"/>
                <w:sz w:val="18"/>
                <w:szCs w:val="18"/>
                <w:color w:val="auto"/>
              </w:rPr>
              <w:t>Carrying amount</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234,445</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237,054</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  Balances include loans held for sale of $973 thousand at March 31, 2017 and $0 at June 30, 2016.</w:t>
      </w:r>
    </w:p>
    <w:p>
      <w:pPr>
        <w:sectPr>
          <w:pgSz w:w="11900" w:h="16838" w:orient="portrait"/>
          <w:cols w:equalWidth="0" w:num="1">
            <w:col w:w="11360"/>
          </w:cols>
          <w:pgMar w:left="240" w:top="118" w:right="299" w:bottom="594"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60"/>
          </w:cols>
          <w:pgMar w:left="240" w:top="118" w:right="299" w:bottom="594" w:gutter="0" w:footer="0" w:header="0"/>
          <w:type w:val="continuous"/>
        </w:sectPr>
      </w:pPr>
    </w:p>
    <w:bookmarkStart w:id="24" w:name="page25"/>
    <w:bookmarkEnd w:id="2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80" w:hanging="173"/>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6" w:lineRule="exact"/>
        <w:rPr>
          <w:sz w:val="20"/>
          <w:szCs w:val="20"/>
          <w:color w:val="auto"/>
        </w:rPr>
      </w:pPr>
    </w:p>
    <w:p>
      <w:pPr>
        <w:ind w:right="880"/>
        <w:spacing w:after="0" w:line="270" w:lineRule="auto"/>
        <w:rPr>
          <w:sz w:val="20"/>
          <w:szCs w:val="20"/>
          <w:color w:val="auto"/>
        </w:rPr>
      </w:pPr>
      <w:r>
        <w:rPr>
          <w:rFonts w:ascii="Arial" w:cs="Arial" w:eastAsia="Arial" w:hAnsi="Arial"/>
          <w:sz w:val="18"/>
          <w:szCs w:val="18"/>
          <w:color w:val="auto"/>
        </w:rPr>
        <w:t>Capitalized servicing rights as of March 31, 2017 totaled $2.5 million, compared to $1.8 million as of June 30, 2016, included in other assets on the consolidated balance sheets.</w:t>
      </w:r>
    </w:p>
    <w:p>
      <w:pPr>
        <w:spacing w:after="0" w:line="176" w:lineRule="exact"/>
        <w:rPr>
          <w:sz w:val="20"/>
          <w:szCs w:val="20"/>
          <w:color w:val="auto"/>
        </w:rPr>
      </w:pPr>
    </w:p>
    <w:p>
      <w:pPr>
        <w:jc w:val="both"/>
        <w:ind w:right="340"/>
        <w:spacing w:after="0" w:line="297" w:lineRule="auto"/>
        <w:rPr>
          <w:sz w:val="20"/>
          <w:szCs w:val="20"/>
          <w:color w:val="auto"/>
        </w:rPr>
      </w:pPr>
      <w:r>
        <w:rPr>
          <w:rFonts w:ascii="Arial" w:cs="Arial" w:eastAsia="Arial" w:hAnsi="Arial"/>
          <w:sz w:val="16"/>
          <w:szCs w:val="16"/>
          <w:color w:val="auto"/>
        </w:rPr>
        <w:t>Mortgage loans sold in the quarter ended March 31, 2017 totaled $15.5 million, compared to $19.7 million in the quarter ended March 31, 2016. Mortgage loans sold in the nine months ended March 31, 2017 totaled $58.2 million, compared to $69.1 million in the nine months ended March 31, 2016. Mortgage loans serviced for others totaled $11.2 million at March 31, 2017 and $12.9 million at June 30, 2016. Additionally, the Company was servicing commercial loans participated out to various other institutions amounting to $28.4 million and $32.9 million at March 31, 2017 and June 30, 2016, respectively.</w:t>
      </w:r>
    </w:p>
    <w:p>
      <w:pPr>
        <w:spacing w:after="0" w:line="1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SBA loans sold during the quarter ended March 31, 2017 totaled $9.9 million, compared to $11.9 million in the quarter ended March 31, 2016. SBA loans sold in the nine months ended March 31, 2017 totaled $34.7 million, compared to $24.9 million in the nine months ended March 31, 2016. SBA loans serviced for others totaled $129.5 million at March 31, 2017 and $83.8 million at June 30, 2016.</w:t>
      </w:r>
    </w:p>
    <w:p>
      <w:pPr>
        <w:spacing w:after="0" w:line="185"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Contractually specified servicing fees were $287 thousand and $187 thousand for the quarters ended March 31, 2017 and 2016, respectively, and were included as a component of loan related fees within non-interest income. Contractually specified servicing fees were $695 thousand and $504 thousand for the nine months ended March 31, 2017 and 2016, respectively.</w:t>
      </w:r>
    </w:p>
    <w:p>
      <w:pPr>
        <w:spacing w:after="0" w:line="18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significant assumptions used in the valuation for mortgage servicing rights as of March 31, 2017 included a weighted average discount rate of 7.8% and a weighted average prepayment speed assumption of 12.0%. For the SBA servicing rights, the significant assumptions used in the valuation included a range of discount rates from 9.0% to 13.7% and a weighted average prepayment speed assumption of 7.8%.</w:t>
      </w:r>
    </w:p>
    <w:p>
      <w:pPr>
        <w:spacing w:after="0" w:line="181" w:lineRule="exact"/>
        <w:rPr>
          <w:sz w:val="20"/>
          <w:szCs w:val="20"/>
          <w:color w:val="auto"/>
        </w:rPr>
      </w:pPr>
    </w:p>
    <w:p>
      <w:pPr>
        <w:ind w:left="180" w:hanging="173"/>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5"/>
          </w:tcPr>
          <w:p>
            <w:pPr>
              <w:ind w:left="40"/>
              <w:spacing w:after="0"/>
              <w:rPr>
                <w:sz w:val="20"/>
                <w:szCs w:val="20"/>
                <w:color w:val="auto"/>
              </w:rPr>
            </w:pPr>
            <w:r>
              <w:rPr>
                <w:rFonts w:ascii="Arial" w:cs="Arial" w:eastAsia="Arial" w:hAnsi="Arial"/>
                <w:sz w:val="18"/>
                <w:szCs w:val="18"/>
                <w:color w:val="auto"/>
              </w:rPr>
              <w:t>Three months Ended March 31,</w:t>
            </w:r>
          </w:p>
        </w:tc>
        <w:tc>
          <w:tcPr>
            <w:tcW w:w="160" w:type="dxa"/>
            <w:vAlign w:val="bottom"/>
          </w:tcPr>
          <w:p>
            <w:pPr>
              <w:spacing w:after="0"/>
              <w:rPr>
                <w:sz w:val="19"/>
                <w:szCs w:val="19"/>
                <w:color w:val="auto"/>
              </w:rPr>
            </w:pPr>
          </w:p>
        </w:tc>
        <w:tc>
          <w:tcPr>
            <w:tcW w:w="2540" w:type="dxa"/>
            <w:vAlign w:val="bottom"/>
            <w:gridSpan w:val="5"/>
          </w:tcPr>
          <w:p>
            <w:pPr>
              <w:ind w:left="40"/>
              <w:spacing w:after="0"/>
              <w:rPr>
                <w:sz w:val="20"/>
                <w:szCs w:val="20"/>
                <w:color w:val="auto"/>
              </w:rPr>
            </w:pPr>
            <w:r>
              <w:rPr>
                <w:rFonts w:ascii="Arial" w:cs="Arial" w:eastAsia="Arial" w:hAnsi="Arial"/>
                <w:sz w:val="18"/>
                <w:szCs w:val="18"/>
                <w:color w:val="auto"/>
              </w:rPr>
              <w:t>Nine months Ended March 31,</w:t>
            </w:r>
          </w:p>
        </w:tc>
      </w:tr>
      <w:tr>
        <w:trPr>
          <w:trHeight w:val="209"/>
        </w:trPr>
        <w:tc>
          <w:tcPr>
            <w:tcW w:w="5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20"/>
        </w:trPr>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gridSpan w:val="11"/>
          </w:tcPr>
          <w:p>
            <w:pPr>
              <w:ind w:left="640"/>
              <w:spacing w:after="0"/>
              <w:rPr>
                <w:sz w:val="20"/>
                <w:szCs w:val="20"/>
                <w:color w:val="auto"/>
              </w:rPr>
            </w:pPr>
            <w:r>
              <w:rPr>
                <w:rFonts w:ascii="Arial" w:cs="Arial" w:eastAsia="Arial" w:hAnsi="Arial"/>
                <w:sz w:val="18"/>
                <w:szCs w:val="18"/>
                <w:color w:val="auto"/>
              </w:rPr>
              <w:t>(Dollars in thousands, except share and per share data)</w:t>
            </w:r>
          </w:p>
        </w:tc>
      </w:tr>
      <w:tr>
        <w:trPr>
          <w:trHeight w:val="201"/>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8,312</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shd w:val="clear" w:color="auto" w:fill="CCEEFF"/>
          </w:tcPr>
          <w:p>
            <w:pPr>
              <w:spacing w:after="0"/>
              <w:rPr>
                <w:sz w:val="18"/>
                <w:szCs w:val="18"/>
                <w:color w:val="auto"/>
              </w:rPr>
            </w:pPr>
          </w:p>
        </w:tc>
      </w:tr>
      <w:tr>
        <w:trPr>
          <w:trHeight w:val="214"/>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8,830,442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9,456,198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8,923,280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9,526,302</w:t>
            </w:r>
          </w:p>
        </w:tc>
        <w:tc>
          <w:tcPr>
            <w:tcW w:w="100" w:type="dxa"/>
            <w:vAlign w:val="bottom"/>
          </w:tcPr>
          <w:p>
            <w:pPr>
              <w:spacing w:after="0"/>
              <w:rPr>
                <w:sz w:val="18"/>
                <w:szCs w:val="18"/>
                <w:color w:val="auto"/>
              </w:rPr>
            </w:pPr>
          </w:p>
        </w:tc>
      </w:tr>
      <w:tr>
        <w:trPr>
          <w:trHeight w:val="214"/>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340" w:type="dxa"/>
            <w:vAlign w:val="bottom"/>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8,893,534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9,459,611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8,963,483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9,531,747</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rPr>
                <w:sz w:val="16"/>
                <w:szCs w:val="16"/>
                <w:color w:val="auto"/>
              </w:rPr>
            </w:pPr>
          </w:p>
        </w:tc>
      </w:tr>
      <w:tr>
        <w:trPr>
          <w:trHeight w:val="214"/>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0.93</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0.93</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three and nine months ended March 31, 2017 and 2016,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2720" w:type="dxa"/>
            <w:vAlign w:val="bottom"/>
            <w:gridSpan w:val="3"/>
          </w:tcPr>
          <w:p>
            <w:pPr>
              <w:jc w:val="right"/>
              <w:ind w:right="131"/>
              <w:spacing w:after="0"/>
              <w:rPr>
                <w:sz w:val="20"/>
                <w:szCs w:val="20"/>
                <w:color w:val="auto"/>
              </w:rPr>
            </w:pPr>
            <w:r>
              <w:rPr>
                <w:rFonts w:ascii="Arial" w:cs="Arial" w:eastAsia="Arial" w:hAnsi="Arial"/>
                <w:sz w:val="18"/>
                <w:szCs w:val="18"/>
                <w:color w:val="auto"/>
                <w:w w:val="97"/>
              </w:rPr>
              <w:t>Three Months Ended March 31,</w:t>
            </w:r>
          </w:p>
        </w:tc>
        <w:tc>
          <w:tcPr>
            <w:tcW w:w="180" w:type="dxa"/>
            <w:vAlign w:val="bottom"/>
          </w:tcPr>
          <w:p>
            <w:pPr>
              <w:spacing w:after="0"/>
              <w:rPr>
                <w:sz w:val="19"/>
                <w:szCs w:val="19"/>
                <w:color w:val="auto"/>
              </w:rPr>
            </w:pPr>
          </w:p>
        </w:tc>
        <w:tc>
          <w:tcPr>
            <w:tcW w:w="2800" w:type="dxa"/>
            <w:vAlign w:val="bottom"/>
            <w:gridSpan w:val="4"/>
          </w:tcPr>
          <w:p>
            <w:pPr>
              <w:ind w:left="240"/>
              <w:spacing w:after="0"/>
              <w:rPr>
                <w:sz w:val="20"/>
                <w:szCs w:val="20"/>
                <w:color w:val="auto"/>
              </w:rPr>
            </w:pPr>
            <w:r>
              <w:rPr>
                <w:rFonts w:ascii="Arial" w:cs="Arial" w:eastAsia="Arial" w:hAnsi="Arial"/>
                <w:sz w:val="18"/>
                <w:szCs w:val="18"/>
                <w:color w:val="auto"/>
              </w:rPr>
              <w:t>Nine Months Ended March 31,</w:t>
            </w:r>
          </w:p>
        </w:tc>
      </w:tr>
      <w:tr>
        <w:trPr>
          <w:trHeight w:val="209"/>
        </w:trPr>
        <w:tc>
          <w:tcPr>
            <w:tcW w:w="40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line="19"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80" w:hanging="173"/>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March 31, 2017, the Company had posted cash collateral totaling $1.5 million with dealer banks related to derivative instruments in a net liability position.</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1"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3"/>
              </w:rPr>
              <w:t>Notional</w:t>
            </w: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Inception</w:t>
            </w:r>
          </w:p>
        </w:tc>
        <w:tc>
          <w:tcPr>
            <w:tcW w:w="1040" w:type="dxa"/>
            <w:vAlign w:val="bottom"/>
            <w:tcBorders>
              <w:top w:val="single" w:sz="8" w:color="auto"/>
            </w:tcBorders>
          </w:tcPr>
          <w:p>
            <w:pPr>
              <w:jc w:val="right"/>
              <w:ind w:right="71"/>
              <w:spacing w:after="0" w:line="195" w:lineRule="exact"/>
              <w:rPr>
                <w:sz w:val="20"/>
                <w:szCs w:val="20"/>
                <w:color w:val="auto"/>
              </w:rPr>
            </w:pPr>
            <w:r>
              <w:rPr>
                <w:rFonts w:ascii="Arial" w:cs="Arial" w:eastAsia="Arial" w:hAnsi="Arial"/>
                <w:sz w:val="18"/>
                <w:szCs w:val="18"/>
                <w:color w:val="auto"/>
                <w:w w:val="90"/>
              </w:rPr>
              <w:t>Termination</w:t>
            </w: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171"/>
              <w:spacing w:after="0" w:line="195" w:lineRule="exact"/>
              <w:rPr>
                <w:sz w:val="20"/>
                <w:szCs w:val="20"/>
                <w:color w:val="auto"/>
              </w:rPr>
            </w:pPr>
            <w:r>
              <w:rPr>
                <w:rFonts w:ascii="Arial" w:cs="Arial" w:eastAsia="Arial" w:hAnsi="Arial"/>
                <w:sz w:val="18"/>
                <w:szCs w:val="18"/>
                <w:color w:val="auto"/>
                <w:w w:val="89"/>
              </w:rPr>
              <w:t>Receive</w:t>
            </w:r>
          </w:p>
        </w:tc>
        <w:tc>
          <w:tcPr>
            <w:tcW w:w="128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83"/>
              </w:rPr>
              <w:t>Pay</w:t>
            </w:r>
          </w:p>
        </w:tc>
        <w:tc>
          <w:tcPr>
            <w:tcW w:w="130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5"/>
              </w:rPr>
              <w:t>Strike</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92"/>
              </w:rPr>
              <w:t>Unrealized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27"/>
        </w:trPr>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Date</w:t>
            </w: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4"/>
              </w:rPr>
              <w:t>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Location</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center"/>
              <w:ind w:left="611"/>
              <w:spacing w:after="0"/>
              <w:rPr>
                <w:sz w:val="20"/>
                <w:szCs w:val="20"/>
                <w:color w:val="auto"/>
              </w:rPr>
            </w:pPr>
            <w:r>
              <w:rPr>
                <w:rFonts w:ascii="Arial" w:cs="Arial" w:eastAsia="Arial" w:hAnsi="Arial"/>
                <w:sz w:val="18"/>
                <w:szCs w:val="18"/>
                <w:color w:val="auto"/>
                <w:w w:val="90"/>
              </w:rPr>
              <w:t>(Dollars in thousands)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 Mo.</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July 2013</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July 2033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tcPr>
          <w:p>
            <w:pPr>
              <w:jc w:val="right"/>
              <w:ind w:right="31"/>
              <w:spacing w:after="0"/>
              <w:rPr>
                <w:sz w:val="20"/>
                <w:szCs w:val="20"/>
                <w:color w:val="auto"/>
              </w:rPr>
            </w:pPr>
            <w:r>
              <w:rPr>
                <w:rFonts w:ascii="Arial" w:cs="Arial" w:eastAsia="Arial" w:hAnsi="Arial"/>
                <w:sz w:val="18"/>
                <w:szCs w:val="18"/>
                <w:color w:val="auto"/>
              </w:rPr>
              <w:t>1.13%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0"/>
        </w:trPr>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28"/>
        </w:trPr>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2013</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July 2028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300" w:type="dxa"/>
            <w:vAlign w:val="bottom"/>
            <w:tcBorders>
              <w:right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 Mo.</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July 2013</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July 2023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tcPr>
          <w:p>
            <w:pPr>
              <w:jc w:val="right"/>
              <w:ind w:right="31"/>
              <w:spacing w:after="0"/>
              <w:rPr>
                <w:sz w:val="20"/>
                <w:szCs w:val="20"/>
                <w:color w:val="auto"/>
              </w:rPr>
            </w:pPr>
            <w:r>
              <w:rPr>
                <w:rFonts w:ascii="Arial" w:cs="Arial" w:eastAsia="Arial" w:hAnsi="Arial"/>
                <w:sz w:val="18"/>
                <w:szCs w:val="18"/>
                <w:color w:val="auto"/>
              </w:rPr>
              <w:t>1.13%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5"/>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1"/>
              </w:rPr>
              <w:t>October 2014</w:t>
            </w:r>
          </w:p>
        </w:tc>
        <w:tc>
          <w:tcPr>
            <w:tcW w:w="10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99"/>
              </w:rPr>
              <w:t>September</w:t>
            </w: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 Mo.</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tcPr>
          <w:p>
            <w:pPr>
              <w:jc w:val="right"/>
              <w:ind w:right="171"/>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March 2015</w:t>
            </w:r>
          </w:p>
        </w:tc>
        <w:tc>
          <w:tcPr>
            <w:tcW w:w="1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February</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0"/>
        </w:trPr>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2020</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300" w:type="dxa"/>
            <w:vAlign w:val="bottom"/>
            <w:tcBorders>
              <w:right w:val="single" w:sz="8" w:color="CCEEFF"/>
            </w:tcBorders>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300" w:type="dxa"/>
            <w:vAlign w:val="bottom"/>
            <w:tcBorders>
              <w:right w:val="single" w:sz="8" w:color="CCEEFF"/>
            </w:tcBorders>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87"/>
              </w:rPr>
              <w:t>June 30, 2016</w:t>
            </w: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980" w:type="dxa"/>
            <w:vAlign w:val="bottom"/>
            <w:gridSpan w:val="2"/>
          </w:tcPr>
          <w:p>
            <w:pPr>
              <w:jc w:val="center"/>
              <w:ind w:right="260"/>
              <w:spacing w:after="0" w:line="194" w:lineRule="exact"/>
              <w:rPr>
                <w:sz w:val="20"/>
                <w:szCs w:val="20"/>
                <w:color w:val="auto"/>
              </w:rPr>
            </w:pPr>
            <w:r>
              <w:rPr>
                <w:rFonts w:ascii="Arial" w:cs="Arial" w:eastAsia="Arial" w:hAnsi="Arial"/>
                <w:sz w:val="18"/>
                <w:szCs w:val="18"/>
                <w:color w:val="auto"/>
                <w:w w:val="96"/>
              </w:rPr>
              <w:t>Notional</w:t>
            </w:r>
          </w:p>
        </w:tc>
        <w:tc>
          <w:tcPr>
            <w:tcW w:w="1020" w:type="dxa"/>
            <w:vAlign w:val="bottom"/>
          </w:tcPr>
          <w:p>
            <w:pPr>
              <w:jc w:val="center"/>
              <w:spacing w:after="0" w:line="194" w:lineRule="exact"/>
              <w:rPr>
                <w:sz w:val="20"/>
                <w:szCs w:val="20"/>
                <w:color w:val="auto"/>
              </w:rPr>
            </w:pPr>
            <w:r>
              <w:rPr>
                <w:rFonts w:ascii="Arial" w:cs="Arial" w:eastAsia="Arial" w:hAnsi="Arial"/>
                <w:sz w:val="18"/>
                <w:szCs w:val="18"/>
                <w:color w:val="auto"/>
                <w:w w:val="90"/>
              </w:rPr>
              <w:t>Inception</w:t>
            </w:r>
          </w:p>
        </w:tc>
        <w:tc>
          <w:tcPr>
            <w:tcW w:w="1040" w:type="dxa"/>
            <w:vAlign w:val="bottom"/>
          </w:tcPr>
          <w:p>
            <w:pPr>
              <w:jc w:val="right"/>
              <w:ind w:right="71"/>
              <w:spacing w:after="0" w:line="194" w:lineRule="exact"/>
              <w:rPr>
                <w:sz w:val="20"/>
                <w:szCs w:val="20"/>
                <w:color w:val="auto"/>
              </w:rPr>
            </w:pPr>
            <w:r>
              <w:rPr>
                <w:rFonts w:ascii="Arial" w:cs="Arial" w:eastAsia="Arial" w:hAnsi="Arial"/>
                <w:sz w:val="18"/>
                <w:szCs w:val="18"/>
                <w:color w:val="auto"/>
                <w:w w:val="90"/>
              </w:rPr>
              <w:t>Termination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71"/>
              <w:spacing w:after="0" w:line="194" w:lineRule="exact"/>
              <w:rPr>
                <w:sz w:val="20"/>
                <w:szCs w:val="20"/>
                <w:color w:val="auto"/>
              </w:rPr>
            </w:pPr>
            <w:r>
              <w:rPr>
                <w:rFonts w:ascii="Arial" w:cs="Arial" w:eastAsia="Arial" w:hAnsi="Arial"/>
                <w:sz w:val="18"/>
                <w:szCs w:val="18"/>
                <w:color w:val="auto"/>
                <w:w w:val="89"/>
              </w:rPr>
              <w:t>Receive</w:t>
            </w:r>
          </w:p>
        </w:tc>
        <w:tc>
          <w:tcPr>
            <w:tcW w:w="1280" w:type="dxa"/>
            <w:vAlign w:val="bottom"/>
            <w:gridSpan w:val="2"/>
          </w:tcPr>
          <w:p>
            <w:pPr>
              <w:jc w:val="center"/>
              <w:ind w:right="260"/>
              <w:spacing w:after="0" w:line="194" w:lineRule="exact"/>
              <w:rPr>
                <w:sz w:val="20"/>
                <w:szCs w:val="20"/>
                <w:color w:val="auto"/>
              </w:rPr>
            </w:pPr>
            <w:r>
              <w:rPr>
                <w:rFonts w:ascii="Arial" w:cs="Arial" w:eastAsia="Arial" w:hAnsi="Arial"/>
                <w:sz w:val="18"/>
                <w:szCs w:val="18"/>
                <w:color w:val="auto"/>
                <w:w w:val="83"/>
              </w:rPr>
              <w:t>Pay</w:t>
            </w:r>
          </w:p>
        </w:tc>
        <w:tc>
          <w:tcPr>
            <w:tcW w:w="1300" w:type="dxa"/>
            <w:vAlign w:val="bottom"/>
            <w:gridSpan w:val="2"/>
          </w:tcPr>
          <w:p>
            <w:pPr>
              <w:jc w:val="center"/>
              <w:ind w:right="260"/>
              <w:spacing w:after="0" w:line="194" w:lineRule="exact"/>
              <w:rPr>
                <w:sz w:val="20"/>
                <w:szCs w:val="20"/>
                <w:color w:val="auto"/>
              </w:rPr>
            </w:pPr>
            <w:r>
              <w:rPr>
                <w:rFonts w:ascii="Arial" w:cs="Arial" w:eastAsia="Arial" w:hAnsi="Arial"/>
                <w:sz w:val="18"/>
                <w:szCs w:val="18"/>
                <w:color w:val="auto"/>
                <w:w w:val="95"/>
              </w:rPr>
              <w:t>Strike</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4"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27"/>
        </w:trPr>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Date</w:t>
            </w: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4"/>
              </w:rPr>
              <w:t>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Location</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center"/>
              <w:ind w:left="611"/>
              <w:spacing w:after="0"/>
              <w:rPr>
                <w:sz w:val="20"/>
                <w:szCs w:val="20"/>
                <w:color w:val="auto"/>
              </w:rPr>
            </w:pPr>
            <w:r>
              <w:rPr>
                <w:rFonts w:ascii="Arial" w:cs="Arial" w:eastAsia="Arial" w:hAnsi="Arial"/>
                <w:sz w:val="18"/>
                <w:szCs w:val="18"/>
                <w:color w:val="auto"/>
                <w:w w:val="90"/>
              </w:rPr>
              <w:t>(Dollars in thousands)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July 2013</w:t>
            </w: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July 2033</w:t>
            </w: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 Mo.</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20"/>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vMerge w:val="restart"/>
          </w:tcPr>
          <w:p>
            <w:pPr>
              <w:jc w:val="right"/>
              <w:ind w:right="31"/>
              <w:spacing w:after="0"/>
              <w:rPr>
                <w:sz w:val="20"/>
                <w:szCs w:val="20"/>
                <w:color w:val="auto"/>
              </w:rPr>
            </w:pPr>
            <w:r>
              <w:rPr>
                <w:rFonts w:ascii="Arial" w:cs="Arial" w:eastAsia="Arial" w:hAnsi="Arial"/>
                <w:sz w:val="18"/>
                <w:szCs w:val="18"/>
                <w:color w:val="auto"/>
              </w:rPr>
              <w:t>0.65%</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3.38%</w:t>
            </w:r>
          </w:p>
        </w:tc>
        <w:tc>
          <w:tcPr>
            <w:tcW w:w="1300" w:type="dxa"/>
            <w:vAlign w:val="bottom"/>
            <w:gridSpan w:val="2"/>
            <w:vMerge w:val="restart"/>
          </w:tcPr>
          <w:p>
            <w:pPr>
              <w:ind w:left="800"/>
              <w:spacing w:after="0"/>
              <w:rPr>
                <w:sz w:val="20"/>
                <w:szCs w:val="20"/>
                <w:color w:val="auto"/>
              </w:rPr>
            </w:pPr>
            <w:r>
              <w:rPr>
                <w:rFonts w:ascii="Arial" w:cs="Arial" w:eastAsia="Arial" w:hAnsi="Arial"/>
                <w:sz w:val="18"/>
                <w:szCs w:val="18"/>
                <w:color w:val="auto"/>
              </w:rPr>
              <w:t>n/a</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(1,352)</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(1,352)</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108"/>
        </w:trPr>
        <w:tc>
          <w:tcPr>
            <w:tcW w:w="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July 2013</w:t>
            </w: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July 2028</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20"/>
        </w:trPr>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300" w:type="dxa"/>
            <w:vAlign w:val="bottom"/>
            <w:tcBorders>
              <w:right w:val="single" w:sz="8" w:color="CCEEFF"/>
            </w:tcBorders>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108"/>
        </w:trPr>
        <w:tc>
          <w:tcPr>
            <w:tcW w:w="16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300" w:type="dxa"/>
            <w:vAlign w:val="bottom"/>
            <w:tcBorders>
              <w:right w:val="single" w:sz="8" w:color="CCEEFF"/>
            </w:tcBorders>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July 2013</w:t>
            </w: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July 2023</w:t>
            </w: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 Mo.</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vMerge w:val="restart"/>
          </w:tcPr>
          <w:p>
            <w:pPr>
              <w:jc w:val="right"/>
              <w:ind w:right="31"/>
              <w:spacing w:after="0"/>
              <w:rPr>
                <w:sz w:val="20"/>
                <w:szCs w:val="20"/>
                <w:color w:val="auto"/>
              </w:rPr>
            </w:pPr>
            <w:r>
              <w:rPr>
                <w:rFonts w:ascii="Arial" w:cs="Arial" w:eastAsia="Arial" w:hAnsi="Arial"/>
                <w:sz w:val="18"/>
                <w:szCs w:val="18"/>
                <w:color w:val="auto"/>
              </w:rPr>
              <w:t>0.65%</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2.77%</w:t>
            </w:r>
          </w:p>
        </w:tc>
        <w:tc>
          <w:tcPr>
            <w:tcW w:w="1300" w:type="dxa"/>
            <w:vAlign w:val="bottom"/>
            <w:gridSpan w:val="2"/>
            <w:vMerge w:val="restart"/>
          </w:tcPr>
          <w:p>
            <w:pPr>
              <w:ind w:left="8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(560)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1"/>
              </w:rPr>
              <w:t>October 2014</w:t>
            </w:r>
          </w:p>
        </w:tc>
        <w:tc>
          <w:tcPr>
            <w:tcW w:w="10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99"/>
              </w:rPr>
              <w:t>September</w:t>
            </w: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 Mo.</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tcPr>
          <w:p>
            <w:pPr>
              <w:jc w:val="right"/>
              <w:ind w:right="171"/>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March 2015</w:t>
            </w:r>
          </w:p>
        </w:tc>
        <w:tc>
          <w:tcPr>
            <w:tcW w:w="10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February</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0"/>
        </w:trPr>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2020</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280" w:type="dxa"/>
            <w:vAlign w:val="bottom"/>
            <w:gridSpan w:val="2"/>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300" w:type="dxa"/>
            <w:vAlign w:val="bottom"/>
            <w:tcBorders>
              <w:right w:val="single" w:sz="8" w:color="CCEEFF"/>
            </w:tcBorders>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300" w:type="dxa"/>
            <w:vAlign w:val="bottom"/>
            <w:tcBorders>
              <w:right w:val="single" w:sz="8" w:color="CCEEFF"/>
            </w:tcBorders>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During the three and nine months ended March 31, 2017 and 2016,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nine months ended March 31, 2017 and 2016 related to the balance sheet hedging of variable rate debt indicates that the hedges were effective.</w:t>
      </w:r>
    </w:p>
    <w:p>
      <w:pPr>
        <w:sectPr>
          <w:pgSz w:w="11900" w:h="16857" w:orient="portrait"/>
          <w:cols w:equalWidth="0" w:num="1">
            <w:col w:w="11420"/>
          </w:cols>
          <w:pgMar w:left="240" w:top="118" w:right="239" w:bottom="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93980</wp:posOffset>
            </wp:positionV>
            <wp:extent cx="726948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7" w:name="page28"/>
    <w:bookmarkEnd w:id="2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8. Other Comprehensive Income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5200" w:type="dxa"/>
            <w:vAlign w:val="bottom"/>
            <w:gridSpan w:val="7"/>
          </w:tcPr>
          <w:p>
            <w:pPr>
              <w:spacing w:after="0"/>
              <w:rPr>
                <w:sz w:val="20"/>
                <w:szCs w:val="20"/>
                <w:color w:val="auto"/>
              </w:rPr>
            </w:pPr>
            <w:r>
              <w:rPr>
                <w:rFonts w:ascii="Arial" w:cs="Arial" w:eastAsia="Arial" w:hAnsi="Arial"/>
                <w:sz w:val="18"/>
                <w:szCs w:val="18"/>
                <w:color w:val="auto"/>
              </w:rPr>
              <w:t>The components of other comprehensive income are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3"/>
          </w:tcPr>
          <w:p>
            <w:pPr>
              <w:ind w:left="60"/>
              <w:spacing w:after="0"/>
              <w:rPr>
                <w:sz w:val="20"/>
                <w:szCs w:val="20"/>
                <w:color w:val="auto"/>
              </w:rPr>
            </w:pPr>
            <w:r>
              <w:rPr>
                <w:rFonts w:ascii="Arial" w:cs="Arial" w:eastAsia="Arial" w:hAnsi="Arial"/>
                <w:sz w:val="18"/>
                <w:szCs w:val="18"/>
                <w:color w:val="auto"/>
                <w:w w:val="99"/>
              </w:rPr>
              <w:t>Three Months Ended March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3"/>
        </w:trPr>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300"/>
              <w:spacing w:after="0" w:line="193"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60" w:type="dxa"/>
            <w:vAlign w:val="bottom"/>
            <w:gridSpan w:val="4"/>
          </w:tcPr>
          <w:p>
            <w:pPr>
              <w:jc w:val="center"/>
              <w:ind w:right="120"/>
              <w:spacing w:after="0" w:line="193" w:lineRule="exact"/>
              <w:rPr>
                <w:sz w:val="20"/>
                <w:szCs w:val="20"/>
                <w:color w:val="auto"/>
              </w:rPr>
            </w:pPr>
            <w:r>
              <w:rPr>
                <w:rFonts w:ascii="Arial" w:cs="Arial" w:eastAsia="Arial" w:hAnsi="Arial"/>
                <w:sz w:val="18"/>
                <w:szCs w:val="18"/>
                <w:color w:val="auto"/>
                <w:w w:val="87"/>
              </w:rPr>
              <w:t>Tax Expense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center"/>
              <w:spacing w:after="0" w:line="193" w:lineRule="exact"/>
              <w:rPr>
                <w:sz w:val="20"/>
                <w:szCs w:val="20"/>
                <w:color w:val="auto"/>
              </w:rPr>
            </w:pPr>
            <w:r>
              <w:rPr>
                <w:rFonts w:ascii="Arial" w:cs="Arial" w:eastAsia="Arial" w:hAnsi="Arial"/>
                <w:sz w:val="18"/>
                <w:szCs w:val="18"/>
                <w:color w:val="auto"/>
                <w:w w:val="94"/>
              </w:rPr>
              <w:t>After-tax</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400"/>
              <w:spacing w:after="0" w:line="193" w:lineRule="exact"/>
              <w:rPr>
                <w:sz w:val="20"/>
                <w:szCs w:val="20"/>
                <w:color w:val="auto"/>
              </w:rPr>
            </w:pPr>
            <w:r>
              <w:rPr>
                <w:rFonts w:ascii="Arial" w:cs="Arial" w:eastAsia="Arial" w:hAnsi="Arial"/>
                <w:sz w:val="18"/>
                <w:szCs w:val="18"/>
                <w:color w:val="auto"/>
                <w:w w:val="89"/>
              </w:rPr>
              <w:t>Pre-tax</w:t>
            </w:r>
          </w:p>
        </w:tc>
        <w:tc>
          <w:tcPr>
            <w:tcW w:w="1220" w:type="dxa"/>
            <w:vAlign w:val="bottom"/>
            <w:gridSpan w:val="3"/>
          </w:tcPr>
          <w:p>
            <w:pPr>
              <w:jc w:val="center"/>
              <w:ind w:right="220"/>
              <w:spacing w:after="0" w:line="193"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88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3"/>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(Benefit)</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40" w:type="dxa"/>
            <w:vAlign w:val="bottom"/>
          </w:tcPr>
          <w:p>
            <w:pPr>
              <w:spacing w:after="0"/>
              <w:rPr>
                <w:sz w:val="19"/>
                <w:szCs w:val="19"/>
                <w:color w:val="auto"/>
              </w:rPr>
            </w:pPr>
          </w:p>
        </w:tc>
      </w:tr>
      <w:tr>
        <w:trPr>
          <w:trHeight w:val="209"/>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0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w w:val="98"/>
              </w:rPr>
              <w:t>Change in net unrealized gain on available-for-sale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2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9"/>
                <w:szCs w:val="19"/>
                <w:color w:val="auto"/>
              </w:rPr>
            </w:pPr>
          </w:p>
        </w:tc>
      </w:tr>
      <w:tr>
        <w:trPr>
          <w:trHeight w:val="214"/>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0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w w:val="95"/>
              </w:rPr>
              <w:t>Change in accumulated gain (loss) on effective cash</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flow hedges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9"/>
                <w:szCs w:val="19"/>
                <w:color w:val="auto"/>
              </w:rPr>
            </w:pPr>
          </w:p>
        </w:tc>
      </w:tr>
      <w:tr>
        <w:trPr>
          <w:trHeight w:val="214"/>
        </w:trPr>
        <w:tc>
          <w:tcPr>
            <w:tcW w:w="4020" w:type="dxa"/>
            <w:vAlign w:val="bottom"/>
            <w:gridSpan w:val="3"/>
          </w:tcPr>
          <w:p>
            <w:pPr>
              <w:spacing w:after="0"/>
              <w:rPr>
                <w:sz w:val="20"/>
                <w:szCs w:val="20"/>
                <w:color w:val="auto"/>
              </w:rPr>
            </w:pPr>
            <w:r>
              <w:rPr>
                <w:rFonts w:ascii="Arial" w:cs="Arial" w:eastAsia="Arial" w:hAnsi="Arial"/>
                <w:sz w:val="18"/>
                <w:szCs w:val="18"/>
                <w:color w:val="auto"/>
                <w:w w:val="97"/>
              </w:rPr>
              <w:t>Reclassification adjustments included in net income</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7"/>
        </w:trPr>
        <w:tc>
          <w:tcPr>
            <w:tcW w:w="4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4020" w:type="dxa"/>
            <w:vAlign w:val="bottom"/>
            <w:gridSpan w:val="3"/>
          </w:tcPr>
          <w:p>
            <w:pPr>
              <w:ind w:left="160"/>
              <w:spacing w:after="0"/>
              <w:rPr>
                <w:sz w:val="20"/>
                <w:szCs w:val="20"/>
                <w:color w:val="auto"/>
              </w:rPr>
            </w:pPr>
            <w:r>
              <w:rPr>
                <w:rFonts w:ascii="Arial" w:cs="Arial" w:eastAsia="Arial" w:hAnsi="Arial"/>
                <w:sz w:val="18"/>
                <w:szCs w:val="18"/>
                <w:color w:val="auto"/>
              </w:rPr>
              <w:t>Total other comprehensive gain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tcPr>
          <w:p>
            <w:pPr>
              <w:jc w:val="right"/>
              <w:ind w:right="120"/>
              <w:spacing w:after="0"/>
              <w:rPr>
                <w:sz w:val="20"/>
                <w:szCs w:val="20"/>
                <w:color w:val="auto"/>
              </w:rPr>
            </w:pPr>
            <w:r>
              <w:rPr>
                <w:rFonts w:ascii="Arial" w:cs="Arial" w:eastAsia="Arial" w:hAnsi="Arial"/>
                <w:sz w:val="18"/>
                <w:szCs w:val="18"/>
                <w:color w:val="auto"/>
              </w:rPr>
              <w:t>172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3"/>
          </w:tcPr>
          <w:p>
            <w:pPr>
              <w:jc w:val="right"/>
              <w:ind w:right="300"/>
              <w:spacing w:after="0"/>
              <w:rPr>
                <w:sz w:val="20"/>
                <w:szCs w:val="20"/>
                <w:color w:val="auto"/>
              </w:rPr>
            </w:pPr>
            <w:r>
              <w:rPr>
                <w:rFonts w:ascii="Arial" w:cs="Arial" w:eastAsia="Arial" w:hAnsi="Arial"/>
                <w:sz w:val="18"/>
                <w:szCs w:val="18"/>
                <w:color w:val="auto"/>
                <w:w w:val="94"/>
              </w:rPr>
              <w:t>Nine Months Ended March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3"/>
        </w:trPr>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300"/>
              <w:spacing w:after="0" w:line="193"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60" w:type="dxa"/>
            <w:vAlign w:val="bottom"/>
            <w:gridSpan w:val="4"/>
          </w:tcPr>
          <w:p>
            <w:pPr>
              <w:jc w:val="center"/>
              <w:ind w:right="120"/>
              <w:spacing w:after="0" w:line="193" w:lineRule="exact"/>
              <w:rPr>
                <w:sz w:val="20"/>
                <w:szCs w:val="20"/>
                <w:color w:val="auto"/>
              </w:rPr>
            </w:pPr>
            <w:r>
              <w:rPr>
                <w:rFonts w:ascii="Arial" w:cs="Arial" w:eastAsia="Arial" w:hAnsi="Arial"/>
                <w:sz w:val="18"/>
                <w:szCs w:val="18"/>
                <w:color w:val="auto"/>
                <w:w w:val="87"/>
              </w:rPr>
              <w:t>Tax Expense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center"/>
              <w:spacing w:after="0" w:line="193" w:lineRule="exact"/>
              <w:rPr>
                <w:sz w:val="20"/>
                <w:szCs w:val="20"/>
                <w:color w:val="auto"/>
              </w:rPr>
            </w:pPr>
            <w:r>
              <w:rPr>
                <w:rFonts w:ascii="Arial" w:cs="Arial" w:eastAsia="Arial" w:hAnsi="Arial"/>
                <w:sz w:val="18"/>
                <w:szCs w:val="18"/>
                <w:color w:val="auto"/>
                <w:w w:val="94"/>
              </w:rPr>
              <w:t>After-tax</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400"/>
              <w:spacing w:after="0" w:line="193" w:lineRule="exact"/>
              <w:rPr>
                <w:sz w:val="20"/>
                <w:szCs w:val="20"/>
                <w:color w:val="auto"/>
              </w:rPr>
            </w:pPr>
            <w:r>
              <w:rPr>
                <w:rFonts w:ascii="Arial" w:cs="Arial" w:eastAsia="Arial" w:hAnsi="Arial"/>
                <w:sz w:val="18"/>
                <w:szCs w:val="18"/>
                <w:color w:val="auto"/>
                <w:w w:val="89"/>
              </w:rPr>
              <w:t>Pre-tax</w:t>
            </w:r>
          </w:p>
        </w:tc>
        <w:tc>
          <w:tcPr>
            <w:tcW w:w="1220" w:type="dxa"/>
            <w:vAlign w:val="bottom"/>
            <w:gridSpan w:val="3"/>
          </w:tcPr>
          <w:p>
            <w:pPr>
              <w:jc w:val="center"/>
              <w:ind w:right="220"/>
              <w:spacing w:after="0" w:line="193"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880" w:type="dxa"/>
            <w:vAlign w:val="bottom"/>
          </w:tcPr>
          <w:p>
            <w:pPr>
              <w:jc w:val="center"/>
              <w:ind w:right="51"/>
              <w:spacing w:after="0" w:line="193"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(Benefit)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3"/>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(Benefit)</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40" w:type="dxa"/>
            <w:vAlign w:val="bottom"/>
          </w:tcPr>
          <w:p>
            <w:pPr>
              <w:spacing w:after="0"/>
              <w:rPr>
                <w:sz w:val="19"/>
                <w:szCs w:val="19"/>
                <w:color w:val="auto"/>
              </w:rPr>
            </w:pPr>
          </w:p>
        </w:tc>
      </w:tr>
      <w:tr>
        <w:trPr>
          <w:trHeight w:val="209"/>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0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w w:val="94"/>
              </w:rPr>
              <w:t>Change in net unrealized (loss) gain on available-for-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sale securities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19"/>
                <w:szCs w:val="19"/>
                <w:color w:val="auto"/>
              </w:rPr>
            </w:pPr>
          </w:p>
        </w:tc>
      </w:tr>
      <w:tr>
        <w:trPr>
          <w:trHeight w:val="214"/>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0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w w:val="95"/>
              </w:rPr>
              <w:t>Change in accumulated gain (loss) on effective cash</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flow hedges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w:t>
            </w:r>
          </w:p>
        </w:tc>
        <w:tc>
          <w:tcPr>
            <w:tcW w:w="2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40" w:type="dxa"/>
            <w:vAlign w:val="bottom"/>
          </w:tcPr>
          <w:p>
            <w:pPr>
              <w:spacing w:after="0"/>
              <w:rPr>
                <w:sz w:val="19"/>
                <w:szCs w:val="19"/>
                <w:color w:val="auto"/>
              </w:rPr>
            </w:pPr>
          </w:p>
        </w:tc>
      </w:tr>
      <w:tr>
        <w:trPr>
          <w:trHeight w:val="214"/>
        </w:trPr>
        <w:tc>
          <w:tcPr>
            <w:tcW w:w="4020" w:type="dxa"/>
            <w:vAlign w:val="bottom"/>
            <w:gridSpan w:val="3"/>
          </w:tcPr>
          <w:p>
            <w:pPr>
              <w:spacing w:after="0"/>
              <w:rPr>
                <w:sz w:val="20"/>
                <w:szCs w:val="20"/>
                <w:color w:val="auto"/>
              </w:rPr>
            </w:pPr>
            <w:r>
              <w:rPr>
                <w:rFonts w:ascii="Arial" w:cs="Arial" w:eastAsia="Arial" w:hAnsi="Arial"/>
                <w:sz w:val="18"/>
                <w:szCs w:val="18"/>
                <w:color w:val="auto"/>
                <w:w w:val="97"/>
              </w:rPr>
              <w:t>Reclassification adjustments included in net income</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7"/>
        </w:trPr>
        <w:tc>
          <w:tcPr>
            <w:tcW w:w="4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4020" w:type="dxa"/>
            <w:vAlign w:val="bottom"/>
            <w:gridSpan w:val="3"/>
          </w:tcPr>
          <w:p>
            <w:pPr>
              <w:ind w:left="160"/>
              <w:spacing w:after="0"/>
              <w:rPr>
                <w:sz w:val="20"/>
                <w:szCs w:val="20"/>
                <w:color w:val="auto"/>
              </w:rPr>
            </w:pPr>
            <w:r>
              <w:rPr>
                <w:rFonts w:ascii="Arial" w:cs="Arial" w:eastAsia="Arial" w:hAnsi="Arial"/>
                <w:sz w:val="18"/>
                <w:szCs w:val="18"/>
                <w:color w:val="auto"/>
              </w:rPr>
              <w:t>Total other comprehensive gain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tcPr>
          <w:p>
            <w:pPr>
              <w:jc w:val="right"/>
              <w:ind w:right="120"/>
              <w:spacing w:after="0"/>
              <w:rPr>
                <w:sz w:val="20"/>
                <w:szCs w:val="20"/>
                <w:color w:val="auto"/>
              </w:rPr>
            </w:pPr>
            <w:r>
              <w:rPr>
                <w:rFonts w:ascii="Arial" w:cs="Arial" w:eastAsia="Arial" w:hAnsi="Arial"/>
                <w:sz w:val="18"/>
                <w:szCs w:val="18"/>
                <w:color w:val="auto"/>
              </w:rPr>
              <w:t>313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0"/>
        </w:trPr>
        <w:tc>
          <w:tcPr>
            <w:tcW w:w="5200" w:type="dxa"/>
            <w:vAlign w:val="bottom"/>
            <w:gridSpan w:val="7"/>
          </w:tcPr>
          <w:p>
            <w:pPr>
              <w:spacing w:after="0"/>
              <w:rPr>
                <w:sz w:val="20"/>
                <w:szCs w:val="20"/>
                <w:color w:val="auto"/>
              </w:rPr>
            </w:pPr>
            <w:r>
              <w:rPr>
                <w:rFonts w:ascii="Arial" w:cs="Arial" w:eastAsia="Arial" w:hAnsi="Arial"/>
                <w:sz w:val="18"/>
                <w:szCs w:val="18"/>
                <w:color w:val="auto"/>
                <w:w w:val="94"/>
              </w:rPr>
              <w:t>Accumulated other comprehensive loss is comprised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8"/>
                <w:szCs w:val="18"/>
                <w:color w:val="auto"/>
              </w:rPr>
              <w:t>March 31, 2017</w:t>
            </w:r>
          </w:p>
        </w:tc>
        <w:tc>
          <w:tcPr>
            <w:tcW w:w="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w w:val="89"/>
              </w:rPr>
              <w:t>June 30,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12"/>
          </w:tcPr>
          <w:p>
            <w:pPr>
              <w:ind w:left="4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Unrealized (loss) gain on available-for-sale securities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7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2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020" w:type="dxa"/>
            <w:vAlign w:val="bottom"/>
            <w:gridSpan w:val="3"/>
          </w:tcPr>
          <w:p>
            <w:pPr>
              <w:ind w:left="16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1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After- tax amount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4020" w:type="dxa"/>
            <w:vAlign w:val="bottom"/>
            <w:gridSpan w:val="3"/>
          </w:tcPr>
          <w:p>
            <w:pPr>
              <w:spacing w:after="0"/>
              <w:rPr>
                <w:sz w:val="20"/>
                <w:szCs w:val="20"/>
                <w:color w:val="auto"/>
              </w:rPr>
            </w:pPr>
            <w:r>
              <w:rPr>
                <w:rFonts w:ascii="Arial" w:cs="Arial" w:eastAsia="Arial" w:hAnsi="Arial"/>
                <w:sz w:val="18"/>
                <w:szCs w:val="18"/>
                <w:color w:val="auto"/>
              </w:rPr>
              <w:t>Unrealized loss on cash flow hedges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180" w:type="dxa"/>
            <w:vAlign w:val="bottom"/>
          </w:tcPr>
          <w:p>
            <w:pPr>
              <w:spacing w:after="0"/>
              <w:rPr>
                <w:sz w:val="18"/>
                <w:szCs w:val="18"/>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After- tax amount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7"/>
        </w:trPr>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center"/>
              <w:ind w:right="391"/>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left w:val="single" w:sz="8" w:color="CCEEFF"/>
            </w:tcBorders>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914"/>
        </w:trPr>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4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0"/>
        </w:trPr>
        <w:tc>
          <w:tcPr>
            <w:tcW w:w="1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tcBorders>
              <w:lef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8" w:name="page29"/>
    <w:bookmarkEnd w:id="2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80" w:hanging="173"/>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19"/>
                <w:szCs w:val="19"/>
                <w:color w:val="auto"/>
              </w:rPr>
            </w:pPr>
          </w:p>
        </w:tc>
      </w:tr>
      <w:tr>
        <w:trPr>
          <w:trHeight w:val="208"/>
        </w:trPr>
        <w:tc>
          <w:tcPr>
            <w:tcW w:w="4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5"/>
          </w:tcPr>
          <w:p>
            <w:pPr>
              <w:ind w:left="700"/>
              <w:spacing w:after="0"/>
              <w:rPr>
                <w:sz w:val="20"/>
                <w:szCs w:val="20"/>
                <w:color w:val="auto"/>
              </w:rPr>
            </w:pPr>
            <w:r>
              <w:rPr>
                <w:rFonts w:ascii="Arial" w:cs="Arial" w:eastAsia="Arial" w:hAnsi="Arial"/>
                <w:sz w:val="18"/>
                <w:szCs w:val="18"/>
                <w:color w:val="auto"/>
              </w:rPr>
              <w:t>(Dollars in thousands)</w:t>
            </w:r>
          </w:p>
        </w:tc>
      </w:tr>
      <w:tr>
        <w:trPr>
          <w:trHeight w:val="214"/>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44,684</w:t>
            </w:r>
          </w:p>
        </w:tc>
      </w:tr>
      <w:tr>
        <w:trPr>
          <w:trHeight w:val="214"/>
        </w:trPr>
        <w:tc>
          <w:tcPr>
            <w:tcW w:w="448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89,290</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58,412</w:t>
            </w:r>
          </w:p>
        </w:tc>
      </w:tr>
      <w:tr>
        <w:trPr>
          <w:trHeight w:val="214"/>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3,822</w:t>
            </w:r>
          </w:p>
        </w:tc>
      </w:tr>
      <w:tr>
        <w:trPr>
          <w:trHeight w:val="227"/>
        </w:trPr>
        <w:tc>
          <w:tcPr>
            <w:tcW w:w="448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r>
    </w:tbl>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$68 thousand and $81 thousand recorded in other liabilities at March 31, 2017 and June 30, 2016, respectively.</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prior fiscal year, the Company committed $2.5 million to a fund that acquires CRA qualified investments in loans for the Company’s portfolio. The fund manager calls the funds from the Company when an investment is successfully acquired. During the three months ended March 31, 2017, the fund called $1.5 million from the Company. The Company has a remaining commitment of $1.0 million to a fund that invests in the federally guaranteed portion of SBA 7(a) loans as of March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1"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9" w:lineRule="exact"/>
        <w:rPr>
          <w:sz w:val="20"/>
          <w:szCs w:val="20"/>
          <w:color w:val="auto"/>
        </w:rPr>
      </w:pPr>
    </w:p>
    <w:p>
      <w:pPr>
        <w:ind w:left="440" w:hanging="433"/>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share activity for the nine months ended March 31, 2017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Weighted Average</w:t>
            </w:r>
          </w:p>
        </w:tc>
      </w:tr>
      <w:tr>
        <w:trPr>
          <w:trHeight w:val="214"/>
        </w:trPr>
        <w:tc>
          <w:tcPr>
            <w:tcW w:w="5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Grant</w:t>
            </w:r>
          </w:p>
        </w:tc>
      </w:tr>
      <w:tr>
        <w:trPr>
          <w:trHeight w:val="227"/>
        </w:trPr>
        <w:tc>
          <w:tcPr>
            <w:tcW w:w="568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Date Fair Value</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251,859</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r>
      <w:tr>
        <w:trPr>
          <w:trHeight w:val="214"/>
        </w:trPr>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11.20</w:t>
            </w:r>
          </w:p>
        </w:tc>
      </w:tr>
      <w:tr>
        <w:trPr>
          <w:trHeight w:val="214"/>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r>
      <w:tr>
        <w:trPr>
          <w:trHeight w:val="214"/>
        </w:trPr>
        <w:tc>
          <w:tcPr>
            <w:tcW w:w="5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(16,956)</w:t>
            </w:r>
          </w:p>
        </w:tc>
        <w:tc>
          <w:tcPr>
            <w:tcW w:w="1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9.81</w:t>
            </w:r>
          </w:p>
        </w:tc>
      </w:tr>
      <w:tr>
        <w:trPr>
          <w:trHeight w:val="24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385,429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schedule for the shares granted in the nine months ended March 31, 2017 follows:</w:t>
      </w:r>
    </w:p>
    <w:p>
      <w:pPr>
        <w:spacing w:after="0" w:line="20" w:lineRule="exact"/>
        <w:rPr>
          <w:sz w:val="20"/>
          <w:szCs w:val="20"/>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15,000 restricted shares vest in full on August 25, 2019;</w:t>
      </w:r>
    </w:p>
    <w:p>
      <w:pPr>
        <w:spacing w:after="0" w:line="6" w:lineRule="exact"/>
        <w:rPr>
          <w:rFonts w:ascii="Arial" w:cs="Arial" w:eastAsia="Arial" w:hAnsi="Arial"/>
          <w:sz w:val="18"/>
          <w:szCs w:val="18"/>
          <w:color w:val="auto"/>
        </w:rPr>
      </w:pPr>
    </w:p>
    <w:p>
      <w:pPr>
        <w:ind w:left="640" w:hanging="312"/>
        <w:spacing w:after="0" w:line="262"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50,000 restricted shares are subject to performance-based vesting over a three-year period (the “performance shares”). The performance shares include an absolute metric and a sliding metric within the performance period. The absolute metric requires that the Company be in compliance with the regulatory commitments made to the Federal Reserve Bank and Maine Bureau of Financial Institutions. The sliding metric is based on reaching certain thresholds in regards to the company’s return on equity (“ROE”). The performance shares shall vest in certain defined increments for such periods if the ROE is at least 70% of such targeted returns. This performance will be measured on both a year-by-year basis for three years, and an average basis over the three year performance period; and,</w:t>
      </w:r>
    </w:p>
    <w:p>
      <w:pPr>
        <w:spacing w:after="0" w:line="2" w:lineRule="exact"/>
        <w:rPr>
          <w:rFonts w:ascii="Arial" w:cs="Arial" w:eastAsia="Arial" w:hAnsi="Arial"/>
          <w:sz w:val="17"/>
          <w:szCs w:val="17"/>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95,000 restricted shares vest in three equal installments, commencing on August 25, 2019.</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9" w:name="page30"/>
    <w:bookmarkEnd w:id="2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260" w:hanging="253"/>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95"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9" w:lineRule="exact"/>
        <w:rPr>
          <w:sz w:val="20"/>
          <w:szCs w:val="20"/>
          <w:color w:val="auto"/>
        </w:rPr>
      </w:pPr>
    </w:p>
    <w:p>
      <w:pPr>
        <w:ind w:left="500" w:right="40"/>
        <w:spacing w:after="0" w:line="270"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6" w:lineRule="exact"/>
        <w:rPr>
          <w:sz w:val="20"/>
          <w:szCs w:val="20"/>
          <w:color w:val="auto"/>
        </w:rPr>
      </w:pPr>
    </w:p>
    <w:p>
      <w:pPr>
        <w:ind w:left="500"/>
        <w:spacing w:after="0" w:line="300"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1"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20"/>
        <w:spacing w:after="0" w:line="272" w:lineRule="auto"/>
        <w:rPr>
          <w:sz w:val="20"/>
          <w:szCs w:val="20"/>
          <w:color w:val="auto"/>
        </w:rPr>
      </w:pPr>
      <w:r>
        <w:rPr>
          <w:rFonts w:ascii="Arial" w:cs="Arial" w:eastAsia="Arial" w:hAnsi="Arial"/>
          <w:sz w:val="17"/>
          <w:szCs w:val="17"/>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75" w:lineRule="exact"/>
        <w:rPr>
          <w:sz w:val="20"/>
          <w:szCs w:val="20"/>
          <w:color w:val="auto"/>
        </w:rPr>
      </w:pPr>
    </w:p>
    <w:p>
      <w:pPr>
        <w:ind w:left="500" w:right="220"/>
        <w:spacing w:after="0" w:line="292"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64" w:lineRule="exact"/>
        <w:rPr>
          <w:sz w:val="20"/>
          <w:szCs w:val="20"/>
          <w:color w:val="auto"/>
        </w:rPr>
      </w:pPr>
    </w:p>
    <w:p>
      <w:pPr>
        <w:jc w:val="both"/>
        <w:ind w:left="500" w:right="440"/>
        <w:spacing w:after="0" w:line="259"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1" w:lineRule="exact"/>
        <w:rPr>
          <w:sz w:val="20"/>
          <w:szCs w:val="20"/>
          <w:color w:val="auto"/>
        </w:rPr>
      </w:pPr>
    </w:p>
    <w:p>
      <w:pPr>
        <w:ind w:left="640" w:right="120"/>
        <w:spacing w:after="0" w:line="334"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9" w:lineRule="exact"/>
        <w:rPr>
          <w:sz w:val="20"/>
          <w:szCs w:val="20"/>
          <w:color w:val="auto"/>
        </w:rPr>
      </w:pPr>
    </w:p>
    <w:p>
      <w:pPr>
        <w:ind w:left="640" w:right="100"/>
        <w:spacing w:after="0" w:line="281"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9"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 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1" w:lineRule="exact"/>
        <w:rPr>
          <w:sz w:val="20"/>
          <w:szCs w:val="20"/>
          <w:color w:val="auto"/>
        </w:rPr>
      </w:pPr>
    </w:p>
    <w:p>
      <w:pPr>
        <w:ind w:left="500" w:right="440"/>
        <w:spacing w:after="0" w:line="270"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1" w:lineRule="exact"/>
        <w:rPr>
          <w:sz w:val="20"/>
          <w:szCs w:val="20"/>
          <w:color w:val="auto"/>
        </w:rPr>
      </w:pPr>
    </w:p>
    <w:p>
      <w:pPr>
        <w:ind w:left="500" w:right="40"/>
        <w:spacing w:after="0" w:line="297"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1"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5" w:lineRule="exact"/>
        <w:rPr>
          <w:sz w:val="20"/>
          <w:szCs w:val="20"/>
          <w:color w:val="auto"/>
        </w:rPr>
      </w:pPr>
    </w:p>
    <w:p>
      <w:pPr>
        <w:ind w:left="500" w:right="160"/>
        <w:spacing w:after="0" w:line="272"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 The fair value of deposits with no stated maturity, such as noninterest-bearing demand deposits, savings, NOW accounts and money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5" w:lineRule="exact"/>
        <w:rPr>
          <w:sz w:val="20"/>
          <w:szCs w:val="20"/>
          <w:color w:val="auto"/>
        </w:rPr>
      </w:pPr>
    </w:p>
    <w:p>
      <w:pPr>
        <w:ind w:left="500"/>
        <w:spacing w:after="0" w:line="275"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 by</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3"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i w:val="1"/>
          <w:iCs w:val="1"/>
          <w:color w:val="auto"/>
        </w:rPr>
        <w:t>Off-Balance Sheet Credit-Related Instruments -</w:t>
      </w:r>
      <w:r>
        <w:rPr>
          <w:rFonts w:ascii="Arial" w:cs="Arial" w:eastAsia="Arial" w:hAnsi="Arial"/>
          <w:sz w:val="18"/>
          <w:szCs w:val="18"/>
          <w:color w:val="auto"/>
        </w:rPr>
        <w:t>Fair values for off-balance-sheet, credit-related financial instruments are based on fees currently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to enter into similar agreements, taking into account the remaining terms of the agreements and the counterparties’ credit standing. The fair value of such instruments was nominal at each date presented.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1"/>
              </w:rPr>
              <w:t>March 31, 2017</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07"/>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8"/>
                <w:szCs w:val="18"/>
                <w:color w:val="auto"/>
                <w:w w:val="90"/>
              </w:rPr>
              <w:t>(Dollars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8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w w:val="85"/>
              </w:rPr>
              <w:t>Assets</w:t>
            </w:r>
          </w:p>
        </w:tc>
        <w:tc>
          <w:tcPr>
            <w:tcW w:w="4360" w:type="dxa"/>
            <w:vAlign w:val="bottom"/>
            <w:tcBorders>
              <w:bottom w:val="single" w:sz="8" w:color="CCEEFF"/>
            </w:tcBorders>
            <w:gridSpan w:val="2"/>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484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34,968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34,968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gridSpan w:val="3"/>
            <w:shd w:val="clear" w:color="auto" w:fill="CCEEFF"/>
          </w:tcPr>
          <w:p>
            <w:pPr>
              <w:ind w:left="160"/>
              <w:spacing w:after="0" w:line="213" w:lineRule="exact"/>
              <w:rPr>
                <w:sz w:val="20"/>
                <w:szCs w:val="20"/>
                <w:color w:val="auto"/>
              </w:rPr>
            </w:pPr>
            <w:r>
              <w:rPr>
                <w:rFonts w:ascii="Arial" w:cs="Arial" w:eastAsia="Arial" w:hAnsi="Arial"/>
                <w:sz w:val="15"/>
                <w:szCs w:val="15"/>
                <w:color w:val="auto"/>
              </w:rPr>
              <w:t>Other investments measured at net asset value</w:t>
            </w:r>
            <w:r>
              <w:rPr>
                <w:rFonts w:ascii="Arial" w:cs="Arial" w:eastAsia="Arial" w:hAnsi="Arial"/>
                <w:sz w:val="24"/>
                <w:szCs w:val="24"/>
                <w:color w:val="auto"/>
                <w:vertAlign w:val="superscript"/>
              </w:rPr>
              <w:t>(1)</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4"/>
        </w:trPr>
        <w:tc>
          <w:tcPr>
            <w:tcW w:w="484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484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67"/>
        </w:trPr>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8"/>
                <w:szCs w:val="18"/>
                <w:color w:val="auto"/>
                <w:w w:val="87"/>
              </w:rPr>
              <w:t>June 30, 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07"/>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8"/>
                <w:szCs w:val="18"/>
                <w:color w:val="auto"/>
                <w:w w:val="90"/>
              </w:rPr>
              <w:t>(Dollars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8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w w:val="85"/>
              </w:rPr>
              <w:t>Assets</w:t>
            </w:r>
          </w:p>
        </w:tc>
        <w:tc>
          <w:tcPr>
            <w:tcW w:w="4360" w:type="dxa"/>
            <w:vAlign w:val="bottom"/>
            <w:tcBorders>
              <w:bottom w:val="single" w:sz="8" w:color="CCEEFF"/>
            </w:tcBorders>
            <w:gridSpan w:val="2"/>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484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gridSpan w:val="3"/>
            <w:shd w:val="clear" w:color="auto" w:fill="CCEEFF"/>
          </w:tcPr>
          <w:p>
            <w:pPr>
              <w:ind w:left="160"/>
              <w:spacing w:after="0" w:line="213" w:lineRule="exact"/>
              <w:rPr>
                <w:sz w:val="20"/>
                <w:szCs w:val="20"/>
                <w:color w:val="auto"/>
              </w:rPr>
            </w:pPr>
            <w:r>
              <w:rPr>
                <w:rFonts w:ascii="Arial" w:cs="Arial" w:eastAsia="Arial" w:hAnsi="Arial"/>
                <w:sz w:val="15"/>
                <w:szCs w:val="15"/>
                <w:color w:val="auto"/>
              </w:rPr>
              <w:t>Other investments measured at net asset value</w:t>
            </w:r>
            <w:r>
              <w:rPr>
                <w:rFonts w:ascii="Arial" w:cs="Arial" w:eastAsia="Arial" w:hAnsi="Arial"/>
                <w:sz w:val="24"/>
                <w:szCs w:val="24"/>
                <w:color w:val="auto"/>
                <w:vertAlign w:val="superscript"/>
              </w:rPr>
              <w:t>(1)</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4"/>
        </w:trPr>
        <w:tc>
          <w:tcPr>
            <w:tcW w:w="484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484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40" w:right="40" w:hanging="312"/>
        <w:spacing w:after="0" w:line="206" w:lineRule="auto"/>
        <w:tabs>
          <w:tab w:leader="none" w:pos="6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center"/>
              <w:ind w:left="91"/>
              <w:spacing w:after="0"/>
              <w:rPr>
                <w:sz w:val="20"/>
                <w:szCs w:val="20"/>
                <w:color w:val="auto"/>
              </w:rPr>
            </w:pPr>
            <w:r>
              <w:rPr>
                <w:rFonts w:ascii="Arial" w:cs="Arial" w:eastAsia="Arial" w:hAnsi="Arial"/>
                <w:sz w:val="18"/>
                <w:szCs w:val="18"/>
                <w:color w:val="auto"/>
                <w:w w:val="89"/>
              </w:rPr>
              <w:t>March 31, 2017</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Level 1</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07"/>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jc w:val="center"/>
              <w:ind w:left="111"/>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04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1,127</w:t>
            </w:r>
          </w:p>
        </w:tc>
        <w:tc>
          <w:tcPr>
            <w:tcW w:w="114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r>
      <w:tr>
        <w:trPr>
          <w:trHeight w:val="214"/>
        </w:trPr>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3,761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2,603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480"/>
        </w:trPr>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left="91"/>
              <w:spacing w:after="0"/>
              <w:rPr>
                <w:sz w:val="20"/>
                <w:szCs w:val="20"/>
                <w:color w:val="auto"/>
              </w:rPr>
            </w:pPr>
            <w:r>
              <w:rPr>
                <w:rFonts w:ascii="Arial" w:cs="Arial" w:eastAsia="Arial" w:hAnsi="Arial"/>
                <w:sz w:val="18"/>
                <w:szCs w:val="18"/>
                <w:color w:val="auto"/>
                <w:w w:val="87"/>
              </w:rPr>
              <w:t>June 30, 2016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Level 1</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07"/>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jc w:val="center"/>
              <w:ind w:left="111"/>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04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c>
          <w:tcPr>
            <w:tcW w:w="114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r>
      <w:tr>
        <w:trPr>
          <w:trHeight w:val="214"/>
        </w:trPr>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1,652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1,771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r>
    </w:tbl>
    <w:p>
      <w:pPr>
        <w:spacing w:after="0" w:line="199"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left="831"/>
              <w:spacing w:after="0"/>
              <w:rPr>
                <w:sz w:val="20"/>
                <w:szCs w:val="20"/>
                <w:color w:val="auto"/>
              </w:rPr>
            </w:pPr>
            <w:r>
              <w:rPr>
                <w:rFonts w:ascii="Arial" w:cs="Arial" w:eastAsia="Arial" w:hAnsi="Arial"/>
                <w:sz w:val="18"/>
                <w:szCs w:val="18"/>
                <w:color w:val="auto"/>
                <w:w w:val="90"/>
              </w:rPr>
              <w:t>Fair Value</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194"/>
        </w:trPr>
        <w:tc>
          <w:tcPr>
            <w:tcW w:w="4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51"/>
              <w:spacing w:after="0" w:line="195" w:lineRule="exact"/>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27"/>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Valuation Technique</w:t>
            </w:r>
          </w:p>
        </w:tc>
      </w:tr>
      <w:tr>
        <w:trPr>
          <w:trHeight w:val="208"/>
        </w:trPr>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(Dollars in thousands)</w:t>
            </w:r>
          </w:p>
        </w:tc>
        <w:tc>
          <w:tcPr>
            <w:tcW w:w="3440" w:type="dxa"/>
            <w:vAlign w:val="bottom"/>
          </w:tcPr>
          <w:p>
            <w:pPr>
              <w:spacing w:after="0"/>
              <w:rPr>
                <w:sz w:val="18"/>
                <w:szCs w:val="18"/>
                <w:color w:val="auto"/>
              </w:rPr>
            </w:pP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3440" w:type="dxa"/>
            <w:vAlign w:val="bottom"/>
            <w:shd w:val="clear" w:color="auto" w:fill="CCEEFF"/>
          </w:tcPr>
          <w:p>
            <w:pPr>
              <w:jc w:val="center"/>
              <w:spacing w:after="0" w:line="213" w:lineRule="exact"/>
              <w:rPr>
                <w:sz w:val="20"/>
                <w:szCs w:val="20"/>
                <w:color w:val="auto"/>
              </w:rPr>
            </w:pPr>
            <w:r>
              <w:rPr>
                <w:rFonts w:ascii="Arial" w:cs="Arial" w:eastAsia="Arial" w:hAnsi="Arial"/>
                <w:sz w:val="15"/>
                <w:szCs w:val="15"/>
                <w:color w:val="auto"/>
              </w:rPr>
              <w:t>Appraisal of collateral</w:t>
            </w:r>
            <w:r>
              <w:rPr>
                <w:rFonts w:ascii="Arial" w:cs="Arial" w:eastAsia="Arial" w:hAnsi="Arial"/>
                <w:sz w:val="24"/>
                <w:szCs w:val="24"/>
                <w:color w:val="auto"/>
                <w:vertAlign w:val="superscript"/>
              </w:rPr>
              <w:t>(1)</w:t>
            </w: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w w:val="99"/>
              </w:rPr>
              <w:t>Real estate owned and other repossessed collateral</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3440" w:type="dxa"/>
            <w:vAlign w:val="bottom"/>
          </w:tcPr>
          <w:p>
            <w:pPr>
              <w:jc w:val="center"/>
              <w:spacing w:after="0" w:line="213" w:lineRule="exact"/>
              <w:rPr>
                <w:sz w:val="20"/>
                <w:szCs w:val="20"/>
                <w:color w:val="auto"/>
              </w:rPr>
            </w:pPr>
            <w:r>
              <w:rPr>
                <w:rFonts w:ascii="Arial" w:cs="Arial" w:eastAsia="Arial" w:hAnsi="Arial"/>
                <w:sz w:val="15"/>
                <w:szCs w:val="15"/>
                <w:color w:val="auto"/>
              </w:rPr>
              <w:t>Appraisal of collateral</w:t>
            </w:r>
            <w:r>
              <w:rPr>
                <w:rFonts w:ascii="Arial" w:cs="Arial" w:eastAsia="Arial" w:hAnsi="Arial"/>
                <w:sz w:val="24"/>
                <w:szCs w:val="24"/>
                <w:color w:val="auto"/>
                <w:vertAlign w:val="superscript"/>
              </w:rPr>
              <w:t>(1)</w:t>
            </w: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3440" w:type="dxa"/>
            <w:vAlign w:val="bottom"/>
            <w:shd w:val="clear" w:color="auto" w:fill="CCEEFF"/>
          </w:tcPr>
          <w:p>
            <w:pPr>
              <w:jc w:val="center"/>
              <w:spacing w:after="0" w:line="213" w:lineRule="exact"/>
              <w:rPr>
                <w:sz w:val="20"/>
                <w:szCs w:val="20"/>
                <w:color w:val="auto"/>
              </w:rPr>
            </w:pPr>
            <w:r>
              <w:rPr>
                <w:rFonts w:ascii="Arial" w:cs="Arial" w:eastAsia="Arial" w:hAnsi="Arial"/>
                <w:sz w:val="15"/>
                <w:szCs w:val="15"/>
                <w:color w:val="auto"/>
              </w:rPr>
              <w:t>Discounted cash flow</w:t>
            </w:r>
            <w:r>
              <w:rPr>
                <w:rFonts w:ascii="Arial" w:cs="Arial" w:eastAsia="Arial" w:hAnsi="Arial"/>
                <w:sz w:val="24"/>
                <w:szCs w:val="24"/>
                <w:color w:val="auto"/>
                <w:vertAlign w:val="superscript"/>
              </w:rPr>
              <w:t>(2)</w:t>
            </w:r>
          </w:p>
        </w:tc>
      </w:tr>
    </w:tbl>
    <w:p>
      <w:pPr>
        <w:spacing w:after="0" w:line="199" w:lineRule="exact"/>
        <w:rPr>
          <w:sz w:val="20"/>
          <w:szCs w:val="20"/>
          <w:color w:val="auto"/>
        </w:rPr>
      </w:pPr>
    </w:p>
    <w:p>
      <w:pPr>
        <w:ind w:right="260" w:firstLine="51"/>
        <w:spacing w:after="0" w:line="267" w:lineRule="auto"/>
        <w:tabs>
          <w:tab w:leader="none" w:pos="2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6% to 75%.</w:t>
      </w:r>
    </w:p>
    <w:p>
      <w:pPr>
        <w:spacing w:after="0" w:line="2" w:lineRule="exact"/>
        <w:rPr>
          <w:rFonts w:ascii="Arial" w:cs="Arial" w:eastAsia="Arial" w:hAnsi="Arial"/>
          <w:sz w:val="17"/>
          <w:szCs w:val="17"/>
          <w:color w:val="auto"/>
        </w:rPr>
      </w:pPr>
    </w:p>
    <w:p>
      <w:pPr>
        <w:ind w:right="60" w:firstLine="51"/>
        <w:spacing w:after="0" w:line="255" w:lineRule="auto"/>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4.0% to 19.4%. For discount rates, the range was 7.8% to 13.7%.</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10"/>
          </w:tcPr>
          <w:p>
            <w:pPr>
              <w:ind w:left="860"/>
              <w:spacing w:after="0"/>
              <w:rPr>
                <w:sz w:val="20"/>
                <w:szCs w:val="20"/>
                <w:color w:val="auto"/>
              </w:rPr>
            </w:pPr>
            <w:r>
              <w:rPr>
                <w:rFonts w:ascii="Arial" w:cs="Arial" w:eastAsia="Arial" w:hAnsi="Arial"/>
                <w:sz w:val="18"/>
                <w:szCs w:val="18"/>
                <w:color w:val="auto"/>
                <w:w w:val="92"/>
              </w:rPr>
              <w:t>Fair Value Measurements at March 31, 2017</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07"/>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78"/>
              </w:rPr>
              <w:t>(Dollars in thousands)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18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w w:val="86"/>
              </w:rPr>
              <w:t>Financial assets:</w:t>
            </w:r>
          </w:p>
        </w:tc>
        <w:tc>
          <w:tcPr>
            <w:tcW w:w="25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147,442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147,442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147,442</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92,306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92,306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line="213" w:lineRule="exact"/>
              <w:rPr>
                <w:sz w:val="20"/>
                <w:szCs w:val="20"/>
                <w:color w:val="auto"/>
              </w:rPr>
            </w:pPr>
            <w:r>
              <w:rPr>
                <w:rFonts w:ascii="Arial" w:cs="Arial" w:eastAsia="Arial" w:hAnsi="Arial"/>
                <w:sz w:val="15"/>
                <w:szCs w:val="15"/>
                <w:color w:val="auto"/>
              </w:rPr>
              <w:t>Other investments measured at net asset value</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6,559</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4,634</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4,634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738,353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741,531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741,531</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70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849,479</w:t>
            </w: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849,891</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849,891</w:t>
            </w: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20,100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25,630</w:t>
            </w: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60" w:type="dxa"/>
            <w:vAlign w:val="bottom"/>
            <w:gridSpan w:val="10"/>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9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Carrying</w:t>
            </w: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0"/>
          </w:tcPr>
          <w:p>
            <w:pPr>
              <w:ind w:left="920"/>
              <w:spacing w:after="0"/>
              <w:rPr>
                <w:sz w:val="20"/>
                <w:szCs w:val="20"/>
                <w:color w:val="auto"/>
              </w:rPr>
            </w:pPr>
            <w:r>
              <w:rPr>
                <w:rFonts w:ascii="Arial" w:cs="Arial" w:eastAsia="Arial" w:hAnsi="Arial"/>
                <w:sz w:val="18"/>
                <w:szCs w:val="18"/>
                <w:color w:val="auto"/>
                <w:w w:val="93"/>
              </w:rPr>
              <w:t>Fair Value Measurements at June 30, 2016</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07"/>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18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w w:val="86"/>
              </w:rPr>
              <w:t>Financial assets:</w:t>
            </w:r>
          </w:p>
        </w:tc>
        <w:tc>
          <w:tcPr>
            <w:tcW w:w="25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151,157</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151,157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151,157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95,414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line="213" w:lineRule="exact"/>
              <w:rPr>
                <w:sz w:val="20"/>
                <w:szCs w:val="20"/>
                <w:color w:val="auto"/>
              </w:rPr>
            </w:pPr>
            <w:r>
              <w:rPr>
                <w:rFonts w:ascii="Arial" w:cs="Arial" w:eastAsia="Arial" w:hAnsi="Arial"/>
                <w:sz w:val="15"/>
                <w:szCs w:val="15"/>
                <w:color w:val="auto"/>
              </w:rPr>
              <w:t>Other investments measured at net asset value</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5,158</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7,519</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690,086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695,830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695,830</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70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800,432</w:t>
            </w: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801,045</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801,045</w:t>
            </w: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30,396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37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23,331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25,664</w:t>
            </w:r>
          </w:p>
        </w:tc>
      </w:tr>
      <w:tr>
        <w:trPr>
          <w:trHeight w:val="227"/>
        </w:trPr>
        <w:tc>
          <w:tcPr>
            <w:tcW w:w="37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left="640" w:hanging="312"/>
        <w:spacing w:after="0" w:line="206" w:lineRule="auto"/>
        <w:tabs>
          <w:tab w:leader="none" w:pos="6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3" w:name="page34"/>
    <w:bookmarkEnd w:id="3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2016, filed with the Securities and Exchange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of the company's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2016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March 31, 2017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Ratios as of March</w:t>
            </w:r>
          </w:p>
        </w:tc>
      </w:tr>
      <w:tr>
        <w:trPr>
          <w:trHeight w:val="227"/>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31, 2017</w:t>
            </w:r>
          </w:p>
        </w:tc>
        <w:tc>
          <w:tcPr>
            <w:tcW w:w="160" w:type="dxa"/>
            <w:vAlign w:val="bottom"/>
          </w:tcPr>
          <w:p>
            <w:pPr>
              <w:spacing w:after="0"/>
              <w:rPr>
                <w:sz w:val="19"/>
                <w:szCs w:val="19"/>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w:t>
            </w:r>
          </w:p>
        </w:tc>
      </w:tr>
      <w:tr>
        <w:trPr>
          <w:trHeight w:val="214"/>
        </w:trPr>
        <w:tc>
          <w:tcPr>
            <w:tcW w:w="7360" w:type="dxa"/>
            <w:vAlign w:val="bottom"/>
          </w:tcPr>
          <w:p>
            <w:pPr>
              <w:spacing w:after="0"/>
              <w:rPr>
                <w:sz w:val="20"/>
                <w:szCs w:val="20"/>
                <w:color w:val="auto"/>
              </w:rPr>
            </w:pPr>
            <w:r>
              <w:rPr>
                <w:rFonts w:ascii="Arial" w:cs="Arial" w:eastAsia="Arial" w:hAnsi="Arial"/>
                <w:sz w:val="18"/>
                <w:szCs w:val="18"/>
                <w:color w:val="auto"/>
              </w:rPr>
              <w:t>(ii) Total capital ratio</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19.31%</w:t>
            </w:r>
          </w:p>
        </w:tc>
      </w:tr>
      <w:tr>
        <w:trPr>
          <w:trHeight w:val="214"/>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31.87%</w:t>
            </w:r>
          </w:p>
        </w:tc>
      </w:tr>
      <w:tr>
        <w:trPr>
          <w:trHeight w:val="214"/>
        </w:trPr>
        <w:tc>
          <w:tcPr>
            <w:tcW w:w="736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87.46%</w:t>
            </w:r>
          </w:p>
        </w:tc>
      </w:tr>
      <w:tr>
        <w:trPr>
          <w:trHeight w:val="214"/>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(v) Ratio of commercial real estate loans to total capital (2)</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181.83%</w:t>
            </w:r>
          </w:p>
        </w:tc>
      </w:tr>
    </w:tbl>
    <w:p>
      <w:pPr>
        <w:spacing w:after="0" w:line="253" w:lineRule="exact"/>
        <w:rPr>
          <w:sz w:val="20"/>
          <w:szCs w:val="20"/>
          <w:color w:val="auto"/>
        </w:rPr>
      </w:pPr>
    </w:p>
    <w:p>
      <w:pPr>
        <w:ind w:left="300" w:hanging="249"/>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maturity deposits less than $250 thousand</w:t>
      </w:r>
    </w:p>
    <w:p>
      <w:pPr>
        <w:spacing w:after="0" w:line="19" w:lineRule="exact"/>
        <w:rPr>
          <w:rFonts w:ascii="Arial" w:cs="Arial" w:eastAsia="Arial" w:hAnsi="Arial"/>
          <w:sz w:val="18"/>
          <w:szCs w:val="18"/>
          <w:color w:val="auto"/>
        </w:rPr>
      </w:pPr>
    </w:p>
    <w:p>
      <w:pPr>
        <w:ind w:right="240" w:firstLine="51"/>
        <w:spacing w:after="0" w:line="255" w:lineRule="auto"/>
        <w:tabs>
          <w:tab w:leader="none" w:pos="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24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of March 31, 2017, the Company, on a consolidated basis, had total assets of $1.0 billion, total deposits of $849.5 million, and shareholders’ equity of $118.7 million. The Company gathers retail deposits through its banking offices in Maine and the Bank's online affinity deposit program, ableBanking; originates loans through the Bank’s Community Banking Division; originates Small Business Administration (“SBA”) and United States Department of Agriculture (“USDA”) loans through the Bank’s national SBA group (“SBA Division”); and purchases and originates commercial loans through the Bank’s Loan Acquisition and Servicing Group (“LASG”). The Community Banking Division, with ten full-service branches and two loan production offices, operates from the Bank’s headquarters in Lewiston, Maine. LASG, ableBanking, and the SBA Division operate from the Company's offices in Boston, Massachusetts.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4"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goal of attracting and retaining deposits, and serving the lending needs of retail and commercial customers within our core markets.</w:t>
      </w:r>
    </w:p>
    <w:p>
      <w:pPr>
        <w:spacing w:after="0" w:line="15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 xml:space="preserve">Growing LASG’s national originated and purchased loan business. </w:t>
      </w:r>
      <w:r>
        <w:rPr>
          <w:rFonts w:ascii="Arial" w:cs="Arial" w:eastAsia="Arial" w:hAnsi="Arial"/>
          <w:sz w:val="18"/>
          <w:szCs w:val="18"/>
          <w:color w:val="auto"/>
        </w:rPr>
        <w:t>We purchase commercial real estate loans nationally, at prices that on average have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yields significantly higher than those available on our originated loan portfolio. We also originate loans nationally, taking advantage of our core expertise in underwriting and servicing national credits.</w:t>
      </w:r>
    </w:p>
    <w:p>
      <w:pPr>
        <w:spacing w:after="0" w:line="185"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6" w:lineRule="exact"/>
        <w:rPr>
          <w:sz w:val="20"/>
          <w:szCs w:val="20"/>
          <w:color w:val="auto"/>
        </w:rPr>
      </w:pPr>
    </w:p>
    <w:p>
      <w:pPr>
        <w:spacing w:after="0" w:line="300" w:lineRule="auto"/>
        <w:rPr>
          <w:sz w:val="20"/>
          <w:szCs w:val="20"/>
          <w:color w:val="auto"/>
        </w:rPr>
      </w:pPr>
      <w:r>
        <w:rPr>
          <w:rFonts w:ascii="Arial" w:cs="Arial" w:eastAsia="Arial" w:hAnsi="Arial"/>
          <w:sz w:val="17"/>
          <w:szCs w:val="17"/>
          <w:i w:val="1"/>
          <w:iCs w:val="1"/>
          <w:color w:val="auto"/>
        </w:rPr>
        <w:t xml:space="preserve">Generating deposits to fund our business. </w:t>
      </w:r>
      <w:r>
        <w:rPr>
          <w:rFonts w:ascii="Arial" w:cs="Arial" w:eastAsia="Arial" w:hAnsi="Arial"/>
          <w:sz w:val="17"/>
          <w:szCs w:val="17"/>
          <w:color w:val="auto"/>
        </w:rPr>
        <w:t>We offer a full line of deposit products through our ten-branch network located in the Community Banking Division’s</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ableBanking is a direct savings platform providing an additional channel to raise core deposits to fund our asset strategy.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2016 to gain a better understanding of how Northeast’s financial performance is measured and reported. There has been no material change in critical accounting policies during the three and nine months ended March 31,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Net income was $3.5 million, or $0.39 per diluted common share, for the quarter ended March 31, 2017, compared to net income of $1.8 million, or $0.19 per diluted common share, for the quarter ended March 31, 2016. Net income for the nine months ended March 31, 2017 was $8.3 million, or $0.93 per diluted common share, compared to $5.4 million, or $0.57 per diluted common share, for the nine months ended March 31, 2016.</w:t>
      </w:r>
    </w:p>
    <w:p>
      <w:pPr>
        <w:spacing w:after="0" w:line="16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interest and dividend income before provision for loan losses increased by $3.2 million for the quarter ended March 31, 2017, compared to the quarter ended March 31, 2016. The increase is primarily due to higher transactional income on purchased loans and higher average balances in the total loan portfolio. This increase was partially offset by higher rates and volume in the deposit portfolio and the effect of the issuance of subordinated debt.</w:t>
      </w:r>
    </w:p>
    <w:p>
      <w:pPr>
        <w:spacing w:after="0" w:line="15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Noninterest income increased by $273 thousand for the quarter ended March 31, 2017, compared to the quarter ended March 31, 2016, principally due to the following:</w:t>
      </w:r>
    </w:p>
    <w:p>
      <w:pPr>
        <w:spacing w:after="0" w:line="1" w:lineRule="exact"/>
        <w:rPr>
          <w:sz w:val="20"/>
          <w:szCs w:val="20"/>
          <w:color w:val="auto"/>
        </w:rPr>
      </w:pPr>
    </w:p>
    <w:p>
      <w:pPr>
        <w:ind w:left="640" w:hanging="312"/>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increase in gain on sale of other loans of $365 thousand, due to the sale of a Community Banking Division commercial loan portfolio;</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fees for other services to customers of $88 thousand, due to an increase in SBA loan servicing fees; and</w:t>
      </w:r>
    </w:p>
    <w:p>
      <w:pPr>
        <w:spacing w:after="0" w:line="6" w:lineRule="exact"/>
        <w:rPr>
          <w:rFonts w:ascii="Arial" w:cs="Arial" w:eastAsia="Arial" w:hAnsi="Arial"/>
          <w:sz w:val="18"/>
          <w:szCs w:val="18"/>
          <w:color w:val="auto"/>
        </w:rPr>
      </w:pPr>
    </w:p>
    <w:p>
      <w:pPr>
        <w:ind w:left="640" w:right="360" w:hanging="312"/>
        <w:spacing w:after="0" w:line="24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gain recognized on real estate owned and other repossessed collateral, net, of $74 thousand, due to the sale of Community Banking Division real estate owned (“REO”).</w:t>
      </w:r>
    </w:p>
    <w:p>
      <w:pPr>
        <w:spacing w:after="0" w:line="1" w:lineRule="exact"/>
        <w:rPr>
          <w:rFonts w:ascii="Arial" w:cs="Arial" w:eastAsia="Arial" w:hAnsi="Arial"/>
          <w:sz w:val="18"/>
          <w:szCs w:val="18"/>
          <w:color w:val="auto"/>
        </w:rPr>
      </w:pPr>
    </w:p>
    <w:p>
      <w:pPr>
        <w:ind w:left="640" w:right="160" w:hanging="312"/>
        <w:spacing w:after="0" w:line="25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increases in noninterest income were partially offset by a decrease in gain on sale of SBA loans of $254 thousand, due to a lower volume sold in the quarter.</w:t>
      </w:r>
    </w:p>
    <w:p>
      <w:pPr>
        <w:spacing w:after="0" w:line="18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Noninterest expense increased by $430 thousand for the quarter ended March 31, 2017, compared to the quarter ended March 31, 2016, primarily due to the following:</w:t>
      </w:r>
    </w:p>
    <w:p>
      <w:pPr>
        <w:spacing w:after="0" w:line="1" w:lineRule="exact"/>
        <w:rPr>
          <w:sz w:val="20"/>
          <w:szCs w:val="20"/>
          <w:color w:val="auto"/>
        </w:rPr>
      </w:pPr>
    </w:p>
    <w:p>
      <w:pPr>
        <w:ind w:left="640" w:right="340" w:hanging="312"/>
        <w:spacing w:after="0" w:line="24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loan expense of $431 thousand, largely driven by the expense related to increased loan acquisition and refinance activity, as well as increased REO activity and expense in the period; and</w:t>
      </w:r>
    </w:p>
    <w:p>
      <w:pPr>
        <w:spacing w:after="0" w:line="1" w:lineRule="exact"/>
        <w:rPr>
          <w:rFonts w:ascii="Arial" w:cs="Arial" w:eastAsia="Arial" w:hAnsi="Arial"/>
          <w:sz w:val="18"/>
          <w:szCs w:val="18"/>
          <w:color w:val="auto"/>
        </w:rPr>
      </w:pPr>
    </w:p>
    <w:p>
      <w:pPr>
        <w:ind w:left="640" w:right="120" w:hanging="312"/>
        <w:spacing w:after="0" w:line="24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salaries and employee benefits of $357 thousand, primarily due to severance expense of $304 thousand recognized in the three months ended March 31, 2017.</w:t>
      </w:r>
    </w:p>
    <w:p>
      <w:pPr>
        <w:spacing w:after="0" w:line="1" w:lineRule="exact"/>
        <w:rPr>
          <w:rFonts w:ascii="Arial" w:cs="Arial" w:eastAsia="Arial" w:hAnsi="Arial"/>
          <w:sz w:val="18"/>
          <w:szCs w:val="18"/>
          <w:color w:val="auto"/>
        </w:rPr>
      </w:pPr>
    </w:p>
    <w:p>
      <w:pPr>
        <w:ind w:left="640" w:right="220" w:hanging="312"/>
        <w:spacing w:after="0" w:line="251"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increases in noninterest expense were partially offset by a decrease in other noninterest expense of $390 thousand, primarily resulting from a mortgage insurance recovery from a legacy mortgage insurance premium plan of $167 thousand and a decrease in impairment on servicing assets as no impairment was booked in the three months ended March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1" w:lineRule="exact"/>
        <w:rPr>
          <w:sz w:val="20"/>
          <w:szCs w:val="20"/>
          <w:color w:val="auto"/>
        </w:rPr>
      </w:pPr>
    </w:p>
    <w:p>
      <w:pPr>
        <w:ind w:right="660"/>
        <w:spacing w:after="0" w:line="270" w:lineRule="auto"/>
        <w:rPr>
          <w:sz w:val="20"/>
          <w:szCs w:val="20"/>
          <w:color w:val="auto"/>
        </w:rPr>
      </w:pPr>
      <w:r>
        <w:rPr>
          <w:rFonts w:ascii="Arial" w:cs="Arial" w:eastAsia="Arial" w:hAnsi="Arial"/>
          <w:sz w:val="18"/>
          <w:szCs w:val="18"/>
          <w:color w:val="auto"/>
        </w:rPr>
        <w:t>As of March 31, 2017, total assets were $1.0 billion, an increase of $40.9 million, or 4.2%, from total assets of $986.2 million as of June 30, 2016. The principal components of the change in the balance sheet follow:</w:t>
      </w:r>
    </w:p>
    <w:p>
      <w:pPr>
        <w:spacing w:after="0" w:line="176" w:lineRule="exact"/>
        <w:rPr>
          <w:sz w:val="20"/>
          <w:szCs w:val="20"/>
          <w:color w:val="auto"/>
        </w:rPr>
      </w:pPr>
    </w:p>
    <w:p>
      <w:pPr>
        <w:ind w:left="640" w:hanging="312"/>
        <w:spacing w:after="0" w:line="29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originated $125.4 million of loans during the quarter ended March 31, 2017. Loans generated by the LASG totaled $89.7 million, which consisted of $7.9 million of purchased loans, at an average price of 91.3% of unpaid principal balance, and $81.8 million of originated loans. The SBA Division closed $22.6 million of new loans during the quarter, of which $16.5 million were funded. In addition, the Company sold $9.9 million of the guaranteed portion of SBA loans in the secondary market, of which $2.6 million were originated in the current quarter and $7.3 million were originated or purchased in prior quarters. Residential loan production sold in the secondary market totaled $15.5 million for the quarter.</w:t>
      </w:r>
    </w:p>
    <w:p>
      <w:pPr>
        <w:spacing w:after="0" w:line="163" w:lineRule="exact"/>
        <w:rPr>
          <w:rFonts w:ascii="Arial" w:cs="Arial" w:eastAsia="Arial" w:hAnsi="Arial"/>
          <w:sz w:val="16"/>
          <w:szCs w:val="16"/>
          <w:color w:val="auto"/>
        </w:rPr>
      </w:pPr>
    </w:p>
    <w:p>
      <w:pPr>
        <w:ind w:left="640" w:right="80"/>
        <w:spacing w:after="0" w:line="306" w:lineRule="auto"/>
        <w:rPr>
          <w:rFonts w:ascii="Arial" w:cs="Arial" w:eastAsia="Arial" w:hAnsi="Arial"/>
          <w:sz w:val="16"/>
          <w:szCs w:val="16"/>
          <w:color w:val="auto"/>
        </w:rPr>
      </w:pPr>
      <w:r>
        <w:rPr>
          <w:rFonts w:ascii="Arial" w:cs="Arial" w:eastAsia="Arial" w:hAnsi="Arial"/>
          <w:sz w:val="16"/>
          <w:szCs w:val="16"/>
          <w:color w:val="auto"/>
        </w:rPr>
        <w:t>In totality, the loan portfolio, excluding loans held for sale, increased by $49.3 million, or 7.1%, compared to June 30, 2016, and decreased by $25.2 million, or 3.3%, compared to December 31, 2016. The decrease from December 31, 2016 is primarily attributable to the payoff of $48.0 million of secured loans to broker-dealers and the sale of a commercial loan portfolio of $18.3 million which, combined, had a weighted average yield of 1.92%.</w:t>
      </w:r>
    </w:p>
    <w:p>
      <w:pPr>
        <w:spacing w:after="0" w:line="15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following table highlights the changes in the loan portfolio for the three and nine months ended March 31, 2017:</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5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Loan Portfolio Changes</w:t>
            </w:r>
          </w:p>
        </w:tc>
        <w:tc>
          <w:tcPr>
            <w:tcW w:w="7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3"/>
        </w:trPr>
        <w:tc>
          <w:tcPr>
            <w:tcW w:w="5760" w:type="dxa"/>
            <w:vAlign w:val="bottom"/>
          </w:tcPr>
          <w:p>
            <w:pPr>
              <w:spacing w:after="0"/>
              <w:rPr>
                <w:sz w:val="16"/>
                <w:szCs w:val="16"/>
                <w:color w:val="auto"/>
              </w:rPr>
            </w:pPr>
          </w:p>
        </w:tc>
        <w:tc>
          <w:tcPr>
            <w:tcW w:w="1740" w:type="dxa"/>
            <w:vAlign w:val="bottom"/>
            <w:gridSpan w:val="3"/>
          </w:tcPr>
          <w:p>
            <w:pPr>
              <w:jc w:val="center"/>
              <w:ind w:right="140"/>
              <w:spacing w:after="0" w:line="193" w:lineRule="exact"/>
              <w:rPr>
                <w:sz w:val="20"/>
                <w:szCs w:val="20"/>
                <w:color w:val="auto"/>
              </w:rPr>
            </w:pPr>
            <w:r>
              <w:rPr>
                <w:rFonts w:ascii="Arial" w:cs="Arial" w:eastAsia="Arial" w:hAnsi="Arial"/>
                <w:sz w:val="18"/>
                <w:szCs w:val="18"/>
                <w:color w:val="auto"/>
                <w:w w:val="86"/>
              </w:rPr>
              <w:t>Three months ended</w:t>
            </w:r>
          </w:p>
        </w:tc>
        <w:tc>
          <w:tcPr>
            <w:tcW w:w="1560" w:type="dxa"/>
            <w:vAlign w:val="bottom"/>
            <w:gridSpan w:val="2"/>
          </w:tcPr>
          <w:p>
            <w:pPr>
              <w:jc w:val="right"/>
              <w:spacing w:after="0" w:line="193" w:lineRule="exact"/>
              <w:rPr>
                <w:sz w:val="20"/>
                <w:szCs w:val="20"/>
                <w:color w:val="auto"/>
              </w:rPr>
            </w:pPr>
            <w:r>
              <w:rPr>
                <w:rFonts w:ascii="Arial" w:cs="Arial" w:eastAsia="Arial" w:hAnsi="Arial"/>
                <w:sz w:val="18"/>
                <w:szCs w:val="18"/>
                <w:color w:val="auto"/>
                <w:w w:val="93"/>
              </w:rPr>
              <w:t>Nine months ended</w:t>
            </w:r>
          </w:p>
        </w:tc>
        <w:tc>
          <w:tcPr>
            <w:tcW w:w="80" w:type="dxa"/>
            <w:vAlign w:val="bottom"/>
          </w:tcPr>
          <w:p>
            <w:pPr>
              <w:spacing w:after="0"/>
              <w:rPr>
                <w:sz w:val="16"/>
                <w:szCs w:val="16"/>
                <w:color w:val="auto"/>
              </w:rPr>
            </w:pPr>
          </w:p>
        </w:tc>
      </w:tr>
      <w:tr>
        <w:trPr>
          <w:trHeight w:val="227"/>
        </w:trPr>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March 31, 2017</w:t>
            </w:r>
          </w:p>
        </w:tc>
        <w:tc>
          <w:tcPr>
            <w:tcW w:w="16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March 31, 2017</w:t>
            </w:r>
          </w:p>
        </w:tc>
        <w:tc>
          <w:tcPr>
            <w:tcW w:w="80" w:type="dxa"/>
            <w:vAlign w:val="bottom"/>
          </w:tcPr>
          <w:p>
            <w:pPr>
              <w:spacing w:after="0"/>
              <w:rPr>
                <w:sz w:val="19"/>
                <w:szCs w:val="19"/>
                <w:color w:val="auto"/>
              </w:rPr>
            </w:pPr>
          </w:p>
        </w:tc>
      </w:tr>
      <w:tr>
        <w:trPr>
          <w:trHeight w:val="208"/>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right"/>
              <w:ind w:right="51"/>
              <w:spacing w:after="0"/>
              <w:rPr>
                <w:sz w:val="20"/>
                <w:szCs w:val="20"/>
                <w:color w:val="auto"/>
              </w:rPr>
            </w:pPr>
            <w:r>
              <w:rPr>
                <w:rFonts w:ascii="Arial" w:cs="Arial" w:eastAsia="Arial" w:hAnsi="Arial"/>
                <w:sz w:val="18"/>
                <w:szCs w:val="18"/>
                <w:color w:val="auto"/>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LASG originations and acquisitions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89,667</w:t>
            </w: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237,578</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SBA and USDA funded originations</w:t>
            </w: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16,549</w:t>
            </w: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56,853</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 originations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13,036</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63,776</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Payoff of secured loans to broker-dealers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8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 portfolio sale</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(18,259)</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(18,259)</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SBA and residential loan sales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(25,471)</w:t>
            </w:r>
          </w:p>
        </w:tc>
        <w:tc>
          <w:tcPr>
            <w:tcW w:w="8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(92,956)</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Payoffs, pay-downs and amortization, net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(52,732)</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(149,700)</w:t>
            </w:r>
          </w:p>
        </w:tc>
      </w:tr>
      <w:tr>
        <w:trPr>
          <w:trHeight w:val="20"/>
        </w:trPr>
        <w:tc>
          <w:tcPr>
            <w:tcW w:w="5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5760" w:type="dxa"/>
            <w:vAlign w:val="bottom"/>
          </w:tcPr>
          <w:p>
            <w:pPr>
              <w:ind w:left="160"/>
              <w:spacing w:after="0"/>
              <w:rPr>
                <w:sz w:val="20"/>
                <w:szCs w:val="20"/>
                <w:color w:val="auto"/>
              </w:rPr>
            </w:pPr>
            <w:r>
              <w:rPr>
                <w:rFonts w:ascii="Arial" w:cs="Arial" w:eastAsia="Arial" w:hAnsi="Arial"/>
                <w:sz w:val="18"/>
                <w:szCs w:val="18"/>
                <w:color w:val="auto"/>
              </w:rPr>
              <w:t>Net change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(25,210)</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49,292</w:t>
            </w:r>
          </w:p>
        </w:tc>
      </w:tr>
      <w:tr>
        <w:trPr>
          <w:trHeight w:val="20"/>
        </w:trPr>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line="9"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640" w:right="400"/>
        <w:spacing w:after="0" w:line="259" w:lineRule="auto"/>
        <w:rPr>
          <w:sz w:val="20"/>
          <w:szCs w:val="20"/>
          <w:color w:val="auto"/>
        </w:rPr>
      </w:pPr>
      <w:r>
        <w:rPr>
          <w:rFonts w:ascii="Arial" w:cs="Arial" w:eastAsia="Arial" w:hAnsi="Arial"/>
          <w:sz w:val="18"/>
          <w:szCs w:val="18"/>
          <w:color w:val="auto"/>
        </w:rPr>
        <w:t>As noted above in the “</w:t>
      </w:r>
      <w:r>
        <w:rPr>
          <w:rFonts w:ascii="Arial" w:cs="Arial" w:eastAsia="Arial" w:hAnsi="Arial"/>
          <w:sz w:val="18"/>
          <w:szCs w:val="18"/>
          <w:i w:val="1"/>
          <w:iCs w:val="1"/>
          <w:color w:val="auto"/>
        </w:rPr>
        <w:t>Business Overview</w:t>
      </w:r>
      <w:r>
        <w:rPr>
          <w:rFonts w:ascii="Arial" w:cs="Arial" w:eastAsia="Arial" w:hAnsi="Arial"/>
          <w:sz w:val="18"/>
          <w:szCs w:val="18"/>
          <w:color w:val="auto"/>
        </w:rPr>
        <w:t>” section, the Company made certain commitments to the Board of Governors of the Federal Reserve System in connection with the merger of FHB with and into the Company in December 2010. The Company’s loan purchase and commercial real estate loan availability under these conditions follow.</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2180" w:type="dxa"/>
            <w:vAlign w:val="bottom"/>
          </w:tcPr>
          <w:p>
            <w:pPr>
              <w:spacing w:after="0"/>
              <w:rPr>
                <w:sz w:val="20"/>
                <w:szCs w:val="20"/>
                <w:color w:val="auto"/>
              </w:rPr>
            </w:pPr>
            <w:r>
              <w:rPr>
                <w:rFonts w:ascii="Arial" w:cs="Arial" w:eastAsia="Arial" w:hAnsi="Arial"/>
                <w:sz w:val="18"/>
                <w:szCs w:val="18"/>
                <w:color w:val="auto"/>
              </w:rPr>
              <w:t>Basis for</w:t>
            </w:r>
          </w:p>
        </w:tc>
        <w:tc>
          <w:tcPr>
            <w:tcW w:w="2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1"/>
              <w:spacing w:after="0"/>
              <w:rPr>
                <w:sz w:val="20"/>
                <w:szCs w:val="20"/>
                <w:color w:val="auto"/>
              </w:rPr>
            </w:pPr>
            <w:r>
              <w:rPr>
                <w:rFonts w:ascii="Arial" w:cs="Arial" w:eastAsia="Arial" w:hAnsi="Arial"/>
                <w:sz w:val="18"/>
                <w:szCs w:val="18"/>
                <w:color w:val="auto"/>
                <w:w w:val="94"/>
              </w:rPr>
              <w:t>Availability at March</w:t>
            </w:r>
          </w:p>
        </w:tc>
        <w:tc>
          <w:tcPr>
            <w:tcW w:w="100" w:type="dxa"/>
            <w:vAlign w:val="bottom"/>
          </w:tcPr>
          <w:p>
            <w:pPr>
              <w:spacing w:after="0"/>
              <w:rPr>
                <w:sz w:val="18"/>
                <w:szCs w:val="18"/>
                <w:color w:val="auto"/>
              </w:rPr>
            </w:pPr>
          </w:p>
        </w:tc>
      </w:tr>
      <w:tr>
        <w:trPr>
          <w:trHeight w:val="227"/>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Regulatory Condition</w:t>
            </w:r>
          </w:p>
        </w:tc>
        <w:tc>
          <w:tcPr>
            <w:tcW w:w="20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8"/>
              </w:rPr>
              <w:t>31, 2017</w:t>
            </w:r>
          </w:p>
        </w:tc>
        <w:tc>
          <w:tcPr>
            <w:tcW w:w="100" w:type="dxa"/>
            <w:vAlign w:val="bottom"/>
          </w:tcPr>
          <w:p>
            <w:pPr>
              <w:spacing w:after="0"/>
              <w:rPr>
                <w:sz w:val="19"/>
                <w:szCs w:val="19"/>
                <w:color w:val="auto"/>
              </w:rPr>
            </w:pPr>
          </w:p>
        </w:tc>
      </w:tr>
      <w:tr>
        <w:trPr>
          <w:trHeight w:val="208"/>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1"/>
              <w:spacing w:after="0"/>
              <w:rPr>
                <w:sz w:val="20"/>
                <w:szCs w:val="20"/>
                <w:color w:val="auto"/>
              </w:rPr>
            </w:pPr>
            <w:r>
              <w:rPr>
                <w:rFonts w:ascii="Arial" w:cs="Arial" w:eastAsia="Arial" w:hAnsi="Arial"/>
                <w:sz w:val="18"/>
                <w:szCs w:val="18"/>
                <w:color w:val="auto"/>
                <w:w w:val="94"/>
              </w:rPr>
              <w:t>(Dollars in millions)</w:t>
            </w:r>
          </w:p>
        </w:tc>
        <w:tc>
          <w:tcPr>
            <w:tcW w:w="100" w:type="dxa"/>
            <w:vAlign w:val="bottom"/>
          </w:tcPr>
          <w:p>
            <w:pPr>
              <w:spacing w:after="0"/>
              <w:rPr>
                <w:sz w:val="18"/>
                <w:szCs w:val="18"/>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8"/>
                <w:szCs w:val="18"/>
                <w:color w:val="auto"/>
              </w:rPr>
            </w:pPr>
          </w:p>
        </w:tc>
      </w:tr>
      <w:tr>
        <w:trPr>
          <w:trHeight w:val="199"/>
        </w:trPr>
        <w:tc>
          <w:tcPr>
            <w:tcW w:w="2180" w:type="dxa"/>
            <w:vAlign w:val="bottom"/>
          </w:tcPr>
          <w:p>
            <w:pPr>
              <w:spacing w:after="0" w:line="200" w:lineRule="exact"/>
              <w:rPr>
                <w:sz w:val="20"/>
                <w:szCs w:val="20"/>
                <w:color w:val="auto"/>
              </w:rPr>
            </w:pPr>
            <w:r>
              <w:rPr>
                <w:rFonts w:ascii="Arial" w:cs="Arial" w:eastAsia="Arial" w:hAnsi="Arial"/>
                <w:sz w:val="18"/>
                <w:szCs w:val="18"/>
                <w:color w:val="auto"/>
              </w:rPr>
              <w:t>Regulatory Capital</w:t>
            </w:r>
          </w:p>
        </w:tc>
        <w:tc>
          <w:tcPr>
            <w:tcW w:w="200" w:type="dxa"/>
            <w:vAlign w:val="bottom"/>
          </w:tcPr>
          <w:p>
            <w:pPr>
              <w:spacing w:after="0"/>
              <w:rPr>
                <w:sz w:val="17"/>
                <w:szCs w:val="17"/>
                <w:color w:val="auto"/>
              </w:rPr>
            </w:pPr>
          </w:p>
        </w:tc>
        <w:tc>
          <w:tcPr>
            <w:tcW w:w="5960" w:type="dxa"/>
            <w:vAlign w:val="bottom"/>
          </w:tcPr>
          <w:p>
            <w:pPr>
              <w:spacing w:after="0" w:line="200" w:lineRule="exact"/>
              <w:rPr>
                <w:sz w:val="20"/>
                <w:szCs w:val="20"/>
                <w:color w:val="auto"/>
              </w:rPr>
            </w:pPr>
            <w:r>
              <w:rPr>
                <w:rFonts w:ascii="Arial" w:cs="Arial" w:eastAsia="Arial" w:hAnsi="Arial"/>
                <w:sz w:val="18"/>
                <w:szCs w:val="18"/>
                <w:color w:val="auto"/>
                <w:w w:val="92"/>
              </w:rPr>
              <w:t>Non-owner occupied commercial real estate loans may not exceed 300% of 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overview of the Bank’s LASG portfolio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right="271"/>
              <w:spacing w:after="0"/>
              <w:rPr>
                <w:sz w:val="20"/>
                <w:szCs w:val="20"/>
                <w:color w:val="auto"/>
              </w:rPr>
            </w:pPr>
            <w:r>
              <w:rPr>
                <w:rFonts w:ascii="Arial" w:cs="Arial" w:eastAsia="Arial" w:hAnsi="Arial"/>
                <w:sz w:val="18"/>
                <w:szCs w:val="18"/>
                <w:color w:val="auto"/>
                <w:w w:val="95"/>
              </w:rPr>
              <w:t>LASG Portfolio</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8"/>
        </w:trPr>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11"/>
              <w:spacing w:after="0"/>
              <w:rPr>
                <w:sz w:val="20"/>
                <w:szCs w:val="20"/>
                <w:color w:val="auto"/>
              </w:rPr>
            </w:pPr>
            <w:r>
              <w:rPr>
                <w:rFonts w:ascii="Arial" w:cs="Arial" w:eastAsia="Arial" w:hAnsi="Arial"/>
                <w:sz w:val="18"/>
                <w:szCs w:val="18"/>
                <w:color w:val="auto"/>
                <w:w w:val="90"/>
              </w:rPr>
              <w:t>Three Months Ended March 31,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71"/>
              <w:spacing w:after="0" w:line="193" w:lineRule="exact"/>
              <w:rPr>
                <w:sz w:val="20"/>
                <w:szCs w:val="20"/>
                <w:color w:val="auto"/>
              </w:rPr>
            </w:pPr>
            <w:r>
              <w:rPr>
                <w:rFonts w:ascii="Arial" w:cs="Arial" w:eastAsia="Arial" w:hAnsi="Arial"/>
                <w:sz w:val="18"/>
                <w:szCs w:val="18"/>
                <w:color w:val="auto"/>
                <w:w w:val="86"/>
              </w:rPr>
              <w:t>Secured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ind w:left="40"/>
              <w:spacing w:after="0" w:line="193" w:lineRule="exact"/>
              <w:rPr>
                <w:sz w:val="20"/>
                <w:szCs w:val="20"/>
                <w:color w:val="auto"/>
              </w:rPr>
            </w:pPr>
            <w:r>
              <w:rPr>
                <w:rFonts w:ascii="Arial" w:cs="Arial" w:eastAsia="Arial" w:hAnsi="Arial"/>
                <w:sz w:val="18"/>
                <w:szCs w:val="18"/>
                <w:color w:val="auto"/>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71"/>
              <w:spacing w:after="0"/>
              <w:rPr>
                <w:sz w:val="20"/>
                <w:szCs w:val="20"/>
                <w:color w:val="auto"/>
              </w:rPr>
            </w:pPr>
            <w:r>
              <w:rPr>
                <w:rFonts w:ascii="Arial" w:cs="Arial" w:eastAsia="Arial" w:hAnsi="Arial"/>
                <w:sz w:val="18"/>
                <w:szCs w:val="18"/>
                <w:color w:val="auto"/>
                <w:w w:val="89"/>
              </w:rPr>
              <w:t>Loans to</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Loans 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260" w:type="dxa"/>
            <w:vAlign w:val="bottom"/>
          </w:tcPr>
          <w:p>
            <w:pPr>
              <w:spacing w:after="0"/>
              <w:rPr>
                <w:sz w:val="18"/>
                <w:szCs w:val="18"/>
                <w:color w:val="auto"/>
              </w:rPr>
            </w:pPr>
          </w:p>
        </w:tc>
        <w:tc>
          <w:tcPr>
            <w:tcW w:w="1100" w:type="dxa"/>
            <w:vAlign w:val="bottom"/>
            <w:gridSpan w:val="2"/>
          </w:tcPr>
          <w:p>
            <w:pPr>
              <w:jc w:val="center"/>
              <w:ind w:right="111"/>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71"/>
              <w:spacing w:after="0"/>
              <w:rPr>
                <w:sz w:val="20"/>
                <w:szCs w:val="20"/>
                <w:color w:val="auto"/>
              </w:rPr>
            </w:pPr>
            <w:r>
              <w:rPr>
                <w:rFonts w:ascii="Arial" w:cs="Arial" w:eastAsia="Arial" w:hAnsi="Arial"/>
                <w:sz w:val="18"/>
                <w:szCs w:val="18"/>
                <w:color w:val="auto"/>
                <w:w w:val="91"/>
              </w:rPr>
              <w:t>Broker-</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auto"/>
                <w:w w:val="99"/>
              </w:rPr>
              <w:t>(1)</w:t>
            </w:r>
          </w:p>
        </w:tc>
        <w:tc>
          <w:tcPr>
            <w:tcW w:w="1160" w:type="dxa"/>
            <w:vAlign w:val="bottom"/>
            <w:gridSpan w:val="2"/>
          </w:tcPr>
          <w:p>
            <w:pPr>
              <w:jc w:val="right"/>
              <w:ind w:right="171"/>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9"/>
                <w:szCs w:val="19"/>
                <w:color w:val="auto"/>
              </w:rPr>
            </w:pPr>
          </w:p>
        </w:tc>
        <w:tc>
          <w:tcPr>
            <w:tcW w:w="920" w:type="dxa"/>
            <w:vAlign w:val="bottom"/>
          </w:tcPr>
          <w:p>
            <w:pPr>
              <w:jc w:val="center"/>
              <w:ind w:right="171"/>
              <w:spacing w:after="0"/>
              <w:rPr>
                <w:sz w:val="20"/>
                <w:szCs w:val="20"/>
                <w:color w:val="auto"/>
              </w:rPr>
            </w:pPr>
            <w:r>
              <w:rPr>
                <w:rFonts w:ascii="Arial" w:cs="Arial" w:eastAsia="Arial" w:hAnsi="Arial"/>
                <w:sz w:val="18"/>
                <w:szCs w:val="18"/>
                <w:color w:val="auto"/>
                <w:w w:val="87"/>
              </w:rPr>
              <w:t>Dealers</w:t>
            </w:r>
          </w:p>
        </w:tc>
        <w:tc>
          <w:tcPr>
            <w:tcW w:w="1280" w:type="dxa"/>
            <w:vAlign w:val="bottom"/>
            <w:gridSpan w:val="3"/>
          </w:tcPr>
          <w:p>
            <w:pPr>
              <w:ind w:left="120"/>
              <w:spacing w:after="0"/>
              <w:rPr>
                <w:sz w:val="20"/>
                <w:szCs w:val="20"/>
                <w:color w:val="auto"/>
              </w:rPr>
            </w:pPr>
            <w:r>
              <w:rPr>
                <w:rFonts w:ascii="Arial" w:cs="Arial" w:eastAsia="Arial" w:hAnsi="Arial"/>
                <w:sz w:val="18"/>
                <w:szCs w:val="18"/>
                <w:color w:val="auto"/>
              </w:rPr>
              <w:t>Total LASG</w:t>
            </w:r>
          </w:p>
        </w:tc>
        <w:tc>
          <w:tcPr>
            <w:tcW w:w="1100" w:type="dxa"/>
            <w:vAlign w:val="bottom"/>
            <w:gridSpan w:val="2"/>
          </w:tcPr>
          <w:p>
            <w:pPr>
              <w:jc w:val="right"/>
              <w:ind w:right="211"/>
              <w:spacing w:after="0"/>
              <w:rPr>
                <w:sz w:val="20"/>
                <w:szCs w:val="20"/>
                <w:color w:val="auto"/>
              </w:rPr>
            </w:pPr>
            <w:r>
              <w:rPr>
                <w:rFonts w:ascii="Arial" w:cs="Arial" w:eastAsia="Arial" w:hAnsi="Arial"/>
                <w:sz w:val="18"/>
                <w:szCs w:val="18"/>
                <w:color w:val="auto"/>
                <w:w w:val="90"/>
              </w:rPr>
              <w:t>Purchased</w:t>
            </w:r>
          </w:p>
        </w:tc>
        <w:tc>
          <w:tcPr>
            <w:tcW w:w="1160" w:type="dxa"/>
            <w:vAlign w:val="bottom"/>
            <w:gridSpan w:val="2"/>
          </w:tcPr>
          <w:p>
            <w:pPr>
              <w:jc w:val="right"/>
              <w:ind w:right="191"/>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Dealers</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r>
      <w:tr>
        <w:trPr>
          <w:trHeight w:val="208"/>
        </w:trPr>
        <w:tc>
          <w:tcPr>
            <w:tcW w:w="2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4"/>
          </w:tcPr>
          <w:p>
            <w:pPr>
              <w:jc w:val="center"/>
              <w:ind w:right="271"/>
              <w:spacing w:after="0"/>
              <w:rPr>
                <w:sz w:val="20"/>
                <w:szCs w:val="20"/>
                <w:color w:val="auto"/>
              </w:rPr>
            </w:pPr>
            <w:r>
              <w:rPr>
                <w:rFonts w:ascii="Arial" w:cs="Arial" w:eastAsia="Arial" w:hAnsi="Arial"/>
                <w:sz w:val="18"/>
                <w:szCs w:val="18"/>
                <w:color w:val="auto"/>
                <w:w w:val="90"/>
              </w:rPr>
              <w:t>(Dollars in thousands)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2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Loans purchased or</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 during the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4"/>
        </w:trPr>
        <w:tc>
          <w:tcPr>
            <w:tcW w:w="22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300"/>
              <w:spacing w:after="0"/>
              <w:rPr>
                <w:sz w:val="20"/>
                <w:szCs w:val="20"/>
                <w:color w:val="auto"/>
              </w:rPr>
            </w:pPr>
            <w:r>
              <w:rPr>
                <w:rFonts w:ascii="Arial" w:cs="Arial" w:eastAsia="Arial" w:hAnsi="Arial"/>
                <w:sz w:val="18"/>
                <w:szCs w:val="18"/>
                <w:color w:val="auto"/>
              </w:rPr>
              <w:t>8,609</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81,806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90,415</w:t>
            </w:r>
          </w:p>
        </w:tc>
        <w:tc>
          <w:tcPr>
            <w:tcW w:w="200" w:type="dxa"/>
            <w:vAlign w:val="bottom"/>
          </w:tcPr>
          <w:p>
            <w:pPr>
              <w:jc w:val="right"/>
              <w:ind w:right="4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24,400</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27,846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52,246</w:t>
            </w: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7,861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81,806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89,667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21,934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27,846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49,780</w:t>
            </w:r>
          </w:p>
        </w:tc>
      </w:tr>
      <w:tr>
        <w:trPr>
          <w:trHeight w:val="214"/>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2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Loan returns during the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4"/>
        </w:trPr>
        <w:tc>
          <w:tcPr>
            <w:tcW w:w="2260" w:type="dxa"/>
            <w:vAlign w:val="bottom"/>
          </w:tcPr>
          <w:p>
            <w:pPr>
              <w:ind w:left="16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w w:val="94"/>
              </w:rPr>
              <w:t>11.89%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11.95%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r>
      <w:tr>
        <w:trPr>
          <w:trHeight w:val="694"/>
        </w:trPr>
        <w:tc>
          <w:tcPr>
            <w:tcW w:w="2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11"/>
              <w:spacing w:after="0"/>
              <w:rPr>
                <w:sz w:val="20"/>
                <w:szCs w:val="20"/>
                <w:color w:val="auto"/>
              </w:rPr>
            </w:pPr>
            <w:r>
              <w:rPr>
                <w:rFonts w:ascii="Arial" w:cs="Arial" w:eastAsia="Arial" w:hAnsi="Arial"/>
                <w:sz w:val="18"/>
                <w:szCs w:val="18"/>
                <w:color w:val="auto"/>
                <w:w w:val="90"/>
              </w:rPr>
              <w:t>Nine Months Ended March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91"/>
              <w:spacing w:after="0" w:line="193" w:lineRule="exact"/>
              <w:rPr>
                <w:sz w:val="20"/>
                <w:szCs w:val="20"/>
                <w:color w:val="auto"/>
              </w:rPr>
            </w:pPr>
            <w:r>
              <w:rPr>
                <w:rFonts w:ascii="Arial" w:cs="Arial" w:eastAsia="Arial" w:hAnsi="Arial"/>
                <w:sz w:val="18"/>
                <w:szCs w:val="18"/>
                <w:color w:val="auto"/>
                <w:w w:val="83"/>
              </w:rPr>
              <w:t>Secured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ind w:left="40"/>
              <w:spacing w:after="0" w:line="193" w:lineRule="exact"/>
              <w:rPr>
                <w:sz w:val="20"/>
                <w:szCs w:val="20"/>
                <w:color w:val="auto"/>
              </w:rPr>
            </w:pPr>
            <w:r>
              <w:rPr>
                <w:rFonts w:ascii="Arial" w:cs="Arial" w:eastAsia="Arial" w:hAnsi="Arial"/>
                <w:sz w:val="18"/>
                <w:szCs w:val="18"/>
                <w:color w:val="auto"/>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1"/>
              <w:spacing w:after="0"/>
              <w:rPr>
                <w:sz w:val="20"/>
                <w:szCs w:val="20"/>
                <w:color w:val="auto"/>
              </w:rPr>
            </w:pPr>
            <w:r>
              <w:rPr>
                <w:rFonts w:ascii="Arial" w:cs="Arial" w:eastAsia="Arial" w:hAnsi="Arial"/>
                <w:sz w:val="18"/>
                <w:szCs w:val="18"/>
                <w:color w:val="auto"/>
                <w:w w:val="89"/>
              </w:rPr>
              <w:t>Loans to</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Loans 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260" w:type="dxa"/>
            <w:vAlign w:val="bottom"/>
          </w:tcPr>
          <w:p>
            <w:pPr>
              <w:spacing w:after="0"/>
              <w:rPr>
                <w:sz w:val="18"/>
                <w:szCs w:val="18"/>
                <w:color w:val="auto"/>
              </w:rPr>
            </w:pPr>
          </w:p>
        </w:tc>
        <w:tc>
          <w:tcPr>
            <w:tcW w:w="1100" w:type="dxa"/>
            <w:vAlign w:val="bottom"/>
            <w:gridSpan w:val="2"/>
          </w:tcPr>
          <w:p>
            <w:pPr>
              <w:jc w:val="center"/>
              <w:ind w:right="131"/>
              <w:spacing w:after="0"/>
              <w:rPr>
                <w:sz w:val="20"/>
                <w:szCs w:val="20"/>
                <w:color w:val="auto"/>
              </w:rPr>
            </w:pPr>
            <w:r>
              <w:rPr>
                <w:rFonts w:ascii="Arial" w:cs="Arial" w:eastAsia="Arial" w:hAnsi="Arial"/>
                <w:sz w:val="18"/>
                <w:szCs w:val="18"/>
                <w:color w:val="auto"/>
                <w:w w:val="83"/>
              </w:rPr>
              <w:t>Purchased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91"/>
              <w:spacing w:after="0"/>
              <w:rPr>
                <w:sz w:val="20"/>
                <w:szCs w:val="20"/>
                <w:color w:val="auto"/>
              </w:rPr>
            </w:pPr>
            <w:r>
              <w:rPr>
                <w:rFonts w:ascii="Arial" w:cs="Arial" w:eastAsia="Arial" w:hAnsi="Arial"/>
                <w:sz w:val="18"/>
                <w:szCs w:val="18"/>
                <w:color w:val="auto"/>
                <w:w w:val="94"/>
              </w:rPr>
              <w:t>Broker-</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491"/>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191"/>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9"/>
                <w:szCs w:val="19"/>
                <w:color w:val="auto"/>
              </w:rPr>
            </w:pPr>
          </w:p>
        </w:tc>
        <w:tc>
          <w:tcPr>
            <w:tcW w:w="920" w:type="dxa"/>
            <w:vAlign w:val="bottom"/>
          </w:tcPr>
          <w:p>
            <w:pPr>
              <w:jc w:val="center"/>
              <w:ind w:right="191"/>
              <w:spacing w:after="0"/>
              <w:rPr>
                <w:sz w:val="20"/>
                <w:szCs w:val="20"/>
                <w:color w:val="auto"/>
              </w:rPr>
            </w:pPr>
            <w:r>
              <w:rPr>
                <w:rFonts w:ascii="Arial" w:cs="Arial" w:eastAsia="Arial" w:hAnsi="Arial"/>
                <w:sz w:val="18"/>
                <w:szCs w:val="18"/>
                <w:color w:val="auto"/>
                <w:w w:val="90"/>
              </w:rPr>
              <w:t>Dealers</w:t>
            </w:r>
          </w:p>
        </w:tc>
        <w:tc>
          <w:tcPr>
            <w:tcW w:w="1280" w:type="dxa"/>
            <w:vAlign w:val="bottom"/>
            <w:gridSpan w:val="3"/>
          </w:tcPr>
          <w:p>
            <w:pPr>
              <w:ind w:left="120"/>
              <w:spacing w:after="0"/>
              <w:rPr>
                <w:sz w:val="20"/>
                <w:szCs w:val="20"/>
                <w:color w:val="auto"/>
              </w:rPr>
            </w:pPr>
            <w:r>
              <w:rPr>
                <w:rFonts w:ascii="Arial" w:cs="Arial" w:eastAsia="Arial" w:hAnsi="Arial"/>
                <w:sz w:val="18"/>
                <w:szCs w:val="18"/>
                <w:color w:val="auto"/>
              </w:rPr>
              <w:t>Total LASG</w:t>
            </w:r>
          </w:p>
        </w:tc>
        <w:tc>
          <w:tcPr>
            <w:tcW w:w="1100" w:type="dxa"/>
            <w:vAlign w:val="bottom"/>
            <w:gridSpan w:val="2"/>
          </w:tcPr>
          <w:p>
            <w:pPr>
              <w:jc w:val="right"/>
              <w:ind w:right="211"/>
              <w:spacing w:after="0"/>
              <w:rPr>
                <w:sz w:val="20"/>
                <w:szCs w:val="20"/>
                <w:color w:val="auto"/>
              </w:rPr>
            </w:pPr>
            <w:r>
              <w:rPr>
                <w:rFonts w:ascii="Arial" w:cs="Arial" w:eastAsia="Arial" w:hAnsi="Arial"/>
                <w:sz w:val="18"/>
                <w:szCs w:val="18"/>
                <w:color w:val="auto"/>
                <w:w w:val="90"/>
              </w:rPr>
              <w:t>Purchased</w:t>
            </w:r>
          </w:p>
        </w:tc>
        <w:tc>
          <w:tcPr>
            <w:tcW w:w="1160" w:type="dxa"/>
            <w:vAlign w:val="bottom"/>
            <w:gridSpan w:val="2"/>
          </w:tcPr>
          <w:p>
            <w:pPr>
              <w:jc w:val="right"/>
              <w:ind w:right="191"/>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Dealers</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r>
      <w:tr>
        <w:trPr>
          <w:trHeight w:val="208"/>
        </w:trPr>
        <w:tc>
          <w:tcPr>
            <w:tcW w:w="2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4"/>
          </w:tcPr>
          <w:p>
            <w:pPr>
              <w:jc w:val="center"/>
              <w:ind w:right="311"/>
              <w:spacing w:after="0"/>
              <w:rPr>
                <w:sz w:val="20"/>
                <w:szCs w:val="20"/>
                <w:color w:val="auto"/>
              </w:rPr>
            </w:pPr>
            <w:r>
              <w:rPr>
                <w:rFonts w:ascii="Arial" w:cs="Arial" w:eastAsia="Arial" w:hAnsi="Arial"/>
                <w:sz w:val="18"/>
                <w:szCs w:val="18"/>
                <w:color w:val="auto"/>
                <w:w w:val="90"/>
              </w:rPr>
              <w:t>(Dollars in thousands)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2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Loans purchased or</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 during the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4"/>
        </w:trPr>
        <w:tc>
          <w:tcPr>
            <w:tcW w:w="22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76,511</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169,831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246,342</w:t>
            </w:r>
          </w:p>
        </w:tc>
        <w:tc>
          <w:tcPr>
            <w:tcW w:w="200" w:type="dxa"/>
            <w:vAlign w:val="bottom"/>
          </w:tcPr>
          <w:p>
            <w:pPr>
              <w:jc w:val="right"/>
              <w:ind w:right="4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88,128</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78,752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166,880</w:t>
            </w: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67,747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169,831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237,578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81,245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78,752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159,997</w:t>
            </w:r>
          </w:p>
        </w:tc>
      </w:tr>
      <w:tr>
        <w:trPr>
          <w:trHeight w:val="214"/>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2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Loan returns during the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4"/>
        </w:trPr>
        <w:tc>
          <w:tcPr>
            <w:tcW w:w="2260" w:type="dxa"/>
            <w:vAlign w:val="bottom"/>
          </w:tcPr>
          <w:p>
            <w:pPr>
              <w:ind w:left="16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0.82%</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r>
      <w:tr>
        <w:trPr>
          <w:trHeight w:val="214"/>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2260" w:type="dxa"/>
            <w:vAlign w:val="bottom"/>
          </w:tcPr>
          <w:p>
            <w:pPr>
              <w:spacing w:after="0"/>
              <w:rPr>
                <w:sz w:val="20"/>
                <w:szCs w:val="20"/>
                <w:color w:val="auto"/>
              </w:rPr>
            </w:pPr>
            <w:r>
              <w:rPr>
                <w:rFonts w:ascii="Arial" w:cs="Arial" w:eastAsia="Arial" w:hAnsi="Arial"/>
                <w:sz w:val="18"/>
                <w:szCs w:val="18"/>
                <w:color w:val="auto"/>
                <w:w w:val="98"/>
              </w:rPr>
              <w:t>Total loans as of period end: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268,651</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299,340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567,991</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266,223</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170,085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496,308</w:t>
            </w:r>
          </w:p>
        </w:tc>
      </w:tr>
      <w:tr>
        <w:trPr>
          <w:trHeight w:val="227"/>
        </w:trPr>
        <w:tc>
          <w:tcPr>
            <w:tcW w:w="2260" w:type="dxa"/>
            <w:vAlign w:val="bottom"/>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237,569</w:t>
            </w:r>
          </w:p>
        </w:tc>
        <w:tc>
          <w:tcPr>
            <w:tcW w:w="2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299,340</w:t>
            </w:r>
          </w:p>
        </w:tc>
        <w:tc>
          <w:tcPr>
            <w:tcW w:w="18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536,909</w:t>
            </w: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233,650</w:t>
            </w:r>
          </w:p>
        </w:tc>
        <w:tc>
          <w:tcPr>
            <w:tcW w:w="26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170,085</w:t>
            </w:r>
          </w:p>
        </w:tc>
        <w:tc>
          <w:tcPr>
            <w:tcW w:w="16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463,735</w:t>
            </w:r>
          </w:p>
        </w:tc>
      </w:tr>
    </w:tbl>
    <w:p>
      <w:pPr>
        <w:spacing w:after="0" w:line="187" w:lineRule="exact"/>
        <w:rPr>
          <w:sz w:val="20"/>
          <w:szCs w:val="20"/>
          <w:color w:val="auto"/>
        </w:rPr>
      </w:pPr>
    </w:p>
    <w:p>
      <w:pPr>
        <w:ind w:left="260" w:hanging="253"/>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Purchased loan balances include loans held for sale of $973 thousand.</w:t>
      </w:r>
    </w:p>
    <w:p>
      <w:pPr>
        <w:spacing w:after="0" w:line="19" w:lineRule="exact"/>
        <w:rPr>
          <w:rFonts w:ascii="Arial" w:cs="Arial" w:eastAsia="Arial" w:hAnsi="Arial"/>
          <w:sz w:val="18"/>
          <w:szCs w:val="18"/>
          <w:color w:val="auto"/>
        </w:rPr>
      </w:pPr>
    </w:p>
    <w:p>
      <w:pPr>
        <w:jc w:val="both"/>
        <w:ind w:firstLine="7"/>
        <w:spacing w:after="0" w:line="251" w:lineRule="auto"/>
        <w:tabs>
          <w:tab w:leader="none" w:pos="2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which includes loans held for sale, on an annualized basis. The total return does not include the effect of purchased loan charge-offs or recoveries in the quarter. Total return is a non-GAAP financial measure.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Available-for-Sale Securities</w:t>
      </w:r>
    </w:p>
    <w:p>
      <w:pPr>
        <w:spacing w:after="0" w:line="2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Cash and cash equivalents were $147.4 million as of March 31, 2017, a decrease of $3.7 million, or 2.5%, from $151.2 million at June 30, 2016. The decrease is primarily due to the increase in loans and the payoff of a $10.0 million FHLBB advance during the quarter ended December 31, 2016, offset by the increase in deposits in the period.</w:t>
      </w:r>
    </w:p>
    <w:p>
      <w:pPr>
        <w:spacing w:after="0" w:line="18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Available-for-sale securities totaled $98.9 million as of March 31, 2017, compared to $100.6 million as of June 30, 2016, representing a decrease of $1.7 million, or 1.7%, primarily due to principal payments on mortgage backed securities, offset by the purchase of securities issued by government agencies. Included in available-for-sale securities are securities issued by government agencies and government-sponsored enterprises, as well as an investment of approximately $5.0 million in a CRA qualified fund that seeks to invest in securities either issued or guaranteed by the U.S. government or its agencies, as well</w:t>
      </w:r>
    </w:p>
    <w:p>
      <w:pPr>
        <w:sectPr>
          <w:pgSz w:w="11900" w:h="16847" w:orient="portrait"/>
          <w:cols w:equalWidth="0" w:num="1">
            <w:col w:w="11420"/>
          </w:cols>
          <w:pgMar w:left="240" w:top="118" w:right="239" w:bottom="0" w:gutter="0" w:footer="0" w:header="0"/>
        </w:sectPr>
      </w:pPr>
    </w:p>
    <w:bookmarkStart w:id="37" w:name="page38"/>
    <w:bookmarkEnd w:id="37"/>
    <w:p>
      <w:pPr>
        <w:spacing w:after="0" w:line="270" w:lineRule="auto"/>
        <w:rPr>
          <w:sz w:val="20"/>
          <w:szCs w:val="20"/>
          <w:color w:val="auto"/>
        </w:rPr>
      </w:pPr>
      <w:r>
        <w:rPr>
          <w:rFonts w:ascii="Arial" w:cs="Arial" w:eastAsia="Arial" w:hAnsi="Arial"/>
          <w:sz w:val="18"/>
          <w:szCs w:val="18"/>
          <w:color w:val="auto"/>
        </w:rPr>
        <w:t>as an investment of approximately $1.5 million in a CRA qualified fund that primarily invests in the federally guaranteed portion of SBA 7(a) loans. At March 31, 2017, no securities were pledged for outstanding borrowings.</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8" w:name="page39"/>
    <w:bookmarkEnd w:id="3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March 31, 2017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Community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ind w:right="311"/>
              <w:spacing w:after="0"/>
              <w:rPr>
                <w:sz w:val="20"/>
                <w:szCs w:val="20"/>
                <w:color w:val="auto"/>
              </w:rPr>
            </w:pPr>
            <w:r>
              <w:rPr>
                <w:rFonts w:ascii="Arial" w:cs="Arial" w:eastAsia="Arial" w:hAnsi="Arial"/>
                <w:sz w:val="18"/>
                <w:szCs w:val="18"/>
                <w:color w:val="auto"/>
              </w:rPr>
              <w:t>LASG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6"/>
              </w:rPr>
              <w:t>SBA Division</w:t>
            </w:r>
          </w:p>
        </w:tc>
        <w:tc>
          <w:tcPr>
            <w:tcW w:w="260" w:type="dxa"/>
            <w:vAlign w:val="bottom"/>
          </w:tcPr>
          <w:p>
            <w:pPr>
              <w:spacing w:after="0"/>
              <w:rPr>
                <w:sz w:val="24"/>
                <w:szCs w:val="2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Total</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1"/>
              </w:rPr>
              <w:t>Percent of Total</w:t>
            </w: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400" w:type="dxa"/>
            <w:vAlign w:val="bottom"/>
            <w:gridSpan w:val="3"/>
            <w:vMerge w:val="restart"/>
          </w:tcPr>
          <w:p>
            <w:pPr>
              <w:spacing w:after="0"/>
              <w:rPr>
                <w:sz w:val="20"/>
                <w:szCs w:val="20"/>
                <w:color w:val="auto"/>
              </w:rPr>
            </w:pPr>
            <w:r>
              <w:rPr>
                <w:rFonts w:ascii="Arial" w:cs="Arial" w:eastAsia="Arial" w:hAnsi="Arial"/>
                <w:sz w:val="18"/>
                <w:szCs w:val="18"/>
                <w:color w:val="auto"/>
              </w:rPr>
              <w:t>Banking Division</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220" w:type="dxa"/>
            <w:vAlign w:val="bottom"/>
            <w:vMerge w:val="restart"/>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w w:val="81"/>
              </w:rPr>
              <w:t>(Dollars in thousands)</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84,767</w:t>
            </w: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85,487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20,601</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129,586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117,255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12,260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153,192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299,340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47,581</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505,132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3,026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135,790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96,629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236,596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47"/>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741,728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4"/>
              </w:rPr>
              <w:t>June 30, 2016</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Community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ind w:right="311"/>
              <w:spacing w:after="0"/>
              <w:rPr>
                <w:sz w:val="20"/>
                <w:szCs w:val="20"/>
                <w:color w:val="auto"/>
              </w:rPr>
            </w:pPr>
            <w:r>
              <w:rPr>
                <w:rFonts w:ascii="Arial" w:cs="Arial" w:eastAsia="Arial" w:hAnsi="Arial"/>
                <w:sz w:val="18"/>
                <w:szCs w:val="18"/>
                <w:color w:val="auto"/>
              </w:rPr>
              <w:t>LASG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6"/>
              </w:rPr>
              <w:t>SBA Division</w:t>
            </w:r>
          </w:p>
        </w:tc>
        <w:tc>
          <w:tcPr>
            <w:tcW w:w="260" w:type="dxa"/>
            <w:vAlign w:val="bottom"/>
          </w:tcPr>
          <w:p>
            <w:pPr>
              <w:spacing w:after="0"/>
              <w:rPr>
                <w:sz w:val="24"/>
                <w:szCs w:val="2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Total</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1"/>
              </w:rPr>
              <w:t>Percent of Total</w:t>
            </w: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400" w:type="dxa"/>
            <w:vAlign w:val="bottom"/>
            <w:gridSpan w:val="3"/>
            <w:vMerge w:val="restart"/>
          </w:tcPr>
          <w:p>
            <w:pPr>
              <w:spacing w:after="0"/>
              <w:rPr>
                <w:sz w:val="20"/>
                <w:szCs w:val="20"/>
                <w:color w:val="auto"/>
              </w:rPr>
            </w:pPr>
            <w:r>
              <w:rPr>
                <w:rFonts w:ascii="Arial" w:cs="Arial" w:eastAsia="Arial" w:hAnsi="Arial"/>
                <w:sz w:val="18"/>
                <w:szCs w:val="18"/>
                <w:color w:val="auto"/>
              </w:rPr>
              <w:t>Banking Division</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220" w:type="dxa"/>
            <w:vAlign w:val="bottom"/>
            <w:vMerge w:val="restart"/>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w w:val="81"/>
              </w:rPr>
              <w:t>(Dollars in thousands)</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93,258</w:t>
            </w: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93,391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49,514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107,897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81,719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145,758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222,918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26,428</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452,727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142,286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4"/>
        </w:trPr>
        <w:tc>
          <w:tcPr>
            <w:tcW w:w="412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94,666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239,709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239,709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47"/>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462,627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9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ectPr>
          <w:pgSz w:w="11900" w:h="16838" w:orient="portrait"/>
          <w:cols w:equalWidth="0" w:num="1">
            <w:col w:w="11420"/>
          </w:cols>
          <w:pgMar w:left="240" w:top="118" w:right="239" w:bottom="915"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915" w:gutter="0" w:footer="0" w:header="0"/>
          <w:type w:val="continuous"/>
        </w:sectPr>
      </w:pPr>
    </w:p>
    <w:bookmarkStart w:id="39" w:name="page40"/>
    <w:bookmarkEnd w:id="3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90" w:lineRule="exact"/>
        <w:rPr>
          <w:sz w:val="20"/>
          <w:szCs w:val="20"/>
          <w:color w:val="auto"/>
        </w:rPr>
      </w:pPr>
    </w:p>
    <w:p>
      <w:pPr>
        <w:ind w:right="420"/>
        <w:spacing w:after="0" w:line="334"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March 31, 2017 and June 30, 2016. Management believes that, based on their carrying amounts, nonperforming assets are well secured based on the estimated fair value of underlying collateral.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7"/>
          </w:tcPr>
          <w:p>
            <w:pPr>
              <w:jc w:val="center"/>
              <w:ind w:left="631"/>
              <w:spacing w:after="0"/>
              <w:rPr>
                <w:sz w:val="20"/>
                <w:szCs w:val="20"/>
                <w:color w:val="auto"/>
              </w:rPr>
            </w:pPr>
            <w:r>
              <w:rPr>
                <w:rFonts w:ascii="Arial" w:cs="Arial" w:eastAsia="Arial" w:hAnsi="Arial"/>
                <w:sz w:val="18"/>
                <w:szCs w:val="18"/>
                <w:color w:val="auto"/>
                <w:w w:val="90"/>
              </w:rPr>
              <w:t>Non-Performing Assets at March 31, 2017</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Purchased</w:t>
            </w:r>
          </w:p>
        </w:tc>
        <w:tc>
          <w:tcPr>
            <w:tcW w:w="580" w:type="dxa"/>
            <w:vAlign w:val="bottom"/>
          </w:tcPr>
          <w:p>
            <w:pPr>
              <w:spacing w:after="0"/>
              <w:rPr>
                <w:sz w:val="18"/>
                <w:szCs w:val="18"/>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w w:val="84"/>
              </w:rPr>
              <w:t>Total</w:t>
            </w:r>
          </w:p>
        </w:tc>
        <w:tc>
          <w:tcPr>
            <w:tcW w:w="160" w:type="dxa"/>
            <w:vAlign w:val="bottom"/>
          </w:tcPr>
          <w:p>
            <w:pPr>
              <w:spacing w:after="0"/>
              <w:rPr>
                <w:sz w:val="18"/>
                <w:szCs w:val="18"/>
                <w:color w:val="auto"/>
              </w:rPr>
            </w:pPr>
          </w:p>
        </w:tc>
      </w:tr>
      <w:tr>
        <w:trPr>
          <w:trHeight w:val="207"/>
        </w:trPr>
        <w:tc>
          <w:tcPr>
            <w:tcW w:w="4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1,073</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4,338</w:t>
            </w:r>
          </w:p>
        </w:tc>
      </w:tr>
      <w:tr>
        <w:trPr>
          <w:trHeight w:val="214"/>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7,247</w:t>
            </w:r>
          </w:p>
        </w:tc>
        <w:tc>
          <w:tcPr>
            <w:tcW w:w="5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7,667</w:t>
            </w:r>
          </w:p>
        </w:tc>
      </w:tr>
      <w:tr>
        <w:trPr>
          <w:trHeight w:val="214"/>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2,704</w:t>
            </w: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r>
      <w:tr>
        <w:trPr>
          <w:trHeight w:val="207"/>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60" w:type="dxa"/>
            <w:vAlign w:val="bottom"/>
            <w:shd w:val="clear" w:color="auto" w:fill="CCEEFF"/>
          </w:tcPr>
          <w:p>
            <w:pPr>
              <w:spacing w:after="0"/>
              <w:rPr>
                <w:sz w:val="18"/>
                <w:szCs w:val="18"/>
                <w:color w:val="auto"/>
              </w:rPr>
            </w:pPr>
          </w:p>
        </w:tc>
      </w:tr>
      <w:tr>
        <w:trPr>
          <w:trHeight w:val="214"/>
        </w:trPr>
        <w:tc>
          <w:tcPr>
            <w:tcW w:w="456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3,675</w:t>
            </w:r>
          </w:p>
        </w:tc>
        <w:tc>
          <w:tcPr>
            <w:tcW w:w="5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3,761</w:t>
            </w:r>
          </w:p>
        </w:tc>
      </w:tr>
      <w:tr>
        <w:trPr>
          <w:trHeight w:val="247"/>
        </w:trPr>
        <w:tc>
          <w:tcPr>
            <w:tcW w:w="4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8"/>
                <w:szCs w:val="18"/>
                <w:color w:val="auto"/>
              </w:rPr>
              <w:t>Ratio of nonperforming loans to total loans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2.00%</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r>
      <w:tr>
        <w:trPr>
          <w:trHeight w:val="214"/>
        </w:trPr>
        <w:tc>
          <w:tcPr>
            <w:tcW w:w="456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3,286</w:t>
            </w:r>
          </w:p>
        </w:tc>
      </w:tr>
      <w:tr>
        <w:trPr>
          <w:trHeight w:val="214"/>
        </w:trPr>
        <w:tc>
          <w:tcPr>
            <w:tcW w:w="456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8,179</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6,864</w:t>
            </w:r>
          </w:p>
        </w:tc>
      </w:tr>
      <w:tr>
        <w:trPr>
          <w:trHeight w:val="214"/>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2,888</w:t>
            </w:r>
          </w:p>
        </w:tc>
      </w:tr>
      <w:tr>
        <w:trPr>
          <w:trHeight w:val="480"/>
        </w:trPr>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left="651"/>
              <w:spacing w:after="0"/>
              <w:rPr>
                <w:sz w:val="20"/>
                <w:szCs w:val="20"/>
                <w:color w:val="auto"/>
              </w:rPr>
            </w:pPr>
            <w:r>
              <w:rPr>
                <w:rFonts w:ascii="Arial" w:cs="Arial" w:eastAsia="Arial" w:hAnsi="Arial"/>
                <w:sz w:val="18"/>
                <w:szCs w:val="18"/>
                <w:color w:val="auto"/>
                <w:w w:val="89"/>
              </w:rPr>
              <w:t>Non-Performing Assets at June 30, 2016</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Purchased</w:t>
            </w:r>
          </w:p>
        </w:tc>
        <w:tc>
          <w:tcPr>
            <w:tcW w:w="580" w:type="dxa"/>
            <w:vAlign w:val="bottom"/>
          </w:tcPr>
          <w:p>
            <w:pPr>
              <w:spacing w:after="0"/>
              <w:rPr>
                <w:sz w:val="18"/>
                <w:szCs w:val="18"/>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w w:val="84"/>
              </w:rPr>
              <w:t>Total</w:t>
            </w:r>
          </w:p>
        </w:tc>
        <w:tc>
          <w:tcPr>
            <w:tcW w:w="160" w:type="dxa"/>
            <w:vAlign w:val="bottom"/>
          </w:tcPr>
          <w:p>
            <w:pPr>
              <w:spacing w:after="0"/>
              <w:rPr>
                <w:sz w:val="18"/>
                <w:szCs w:val="18"/>
                <w:color w:val="auto"/>
              </w:rPr>
            </w:pPr>
          </w:p>
        </w:tc>
      </w:tr>
      <w:tr>
        <w:trPr>
          <w:trHeight w:val="207"/>
        </w:trPr>
        <w:tc>
          <w:tcPr>
            <w:tcW w:w="4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3,738</w:t>
            </w:r>
          </w:p>
        </w:tc>
      </w:tr>
      <w:tr>
        <w:trPr>
          <w:trHeight w:val="214"/>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3,387</w:t>
            </w:r>
          </w:p>
        </w:tc>
        <w:tc>
          <w:tcPr>
            <w:tcW w:w="5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3,861</w:t>
            </w:r>
          </w:p>
        </w:tc>
      </w:tr>
      <w:tr>
        <w:trPr>
          <w:trHeight w:val="214"/>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r>
      <w:tr>
        <w:trPr>
          <w:trHeight w:val="207"/>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60" w:type="dxa"/>
            <w:vAlign w:val="bottom"/>
            <w:shd w:val="clear" w:color="auto" w:fill="CCEEFF"/>
          </w:tcPr>
          <w:p>
            <w:pPr>
              <w:spacing w:after="0"/>
              <w:rPr>
                <w:sz w:val="18"/>
                <w:szCs w:val="18"/>
                <w:color w:val="auto"/>
              </w:rPr>
            </w:pPr>
          </w:p>
        </w:tc>
      </w:tr>
      <w:tr>
        <w:trPr>
          <w:trHeight w:val="214"/>
        </w:trPr>
        <w:tc>
          <w:tcPr>
            <w:tcW w:w="456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1,652</w:t>
            </w:r>
          </w:p>
        </w:tc>
      </w:tr>
      <w:tr>
        <w:trPr>
          <w:trHeight w:val="247"/>
        </w:trPr>
        <w:tc>
          <w:tcPr>
            <w:tcW w:w="4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4"/>
        </w:trPr>
        <w:tc>
          <w:tcPr>
            <w:tcW w:w="4560" w:type="dxa"/>
            <w:vAlign w:val="bottom"/>
          </w:tcPr>
          <w:p>
            <w:pPr>
              <w:spacing w:after="0" w:line="194" w:lineRule="exact"/>
              <w:rPr>
                <w:sz w:val="20"/>
                <w:szCs w:val="20"/>
                <w:color w:val="auto"/>
              </w:rPr>
            </w:pPr>
            <w:r>
              <w:rPr>
                <w:rFonts w:ascii="Arial" w:cs="Arial" w:eastAsia="Arial" w:hAnsi="Arial"/>
                <w:sz w:val="18"/>
                <w:szCs w:val="18"/>
                <w:color w:val="auto"/>
              </w:rPr>
              <w:t>Ratio of nonperforming loans to total loans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1.13%</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0.96%</w:t>
            </w:r>
          </w:p>
        </w:tc>
      </w:tr>
      <w:tr>
        <w:trPr>
          <w:trHeight w:val="214"/>
        </w:trPr>
        <w:tc>
          <w:tcPr>
            <w:tcW w:w="456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2,271</w:t>
            </w:r>
          </w:p>
        </w:tc>
      </w:tr>
      <w:tr>
        <w:trPr>
          <w:trHeight w:val="214"/>
        </w:trPr>
        <w:tc>
          <w:tcPr>
            <w:tcW w:w="456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4,518</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456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7,036</w:t>
            </w:r>
          </w:p>
        </w:tc>
      </w:tr>
      <w:tr>
        <w:trPr>
          <w:trHeight w:val="214"/>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w:t>
            </w:r>
          </w:p>
        </w:tc>
      </w:tr>
    </w:tbl>
    <w:p>
      <w:pPr>
        <w:spacing w:after="0" w:line="1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31, 2017, nonperforming assets totaled $18.6 million, or 1.81% of total assets, as compared to $13.3 million, or 1.32% of total assets, as of December 31, 2016, and $9.5 million, or 0.96% of total assets, as of June 30, 2016. The increase of $5.3 million from December 31, 2016 is primarily due to three loans placed on non-accrual totaling $4.6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9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Company’s allowance for loan losses was $3.4 million as of March 31, 2017, which represents an increase of $1.0 million from $2.4 million as of June 30, 2016. The increase during the period was principally due to loan growth.</w:t>
      </w:r>
    </w:p>
    <w:p>
      <w:pPr>
        <w:sectPr>
          <w:pgSz w:w="11900" w:h="16838" w:orient="portrait"/>
          <w:cols w:equalWidth="0" w:num="1">
            <w:col w:w="11380"/>
          </w:cols>
          <w:pgMar w:left="240" w:top="118" w:right="279" w:bottom="1102"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80"/>
          </w:cols>
          <w:pgMar w:left="240" w:top="118" w:right="279" w:bottom="1102" w:gutter="0" w:footer="0" w:header="0"/>
          <w:type w:val="continuous"/>
        </w:sectPr>
      </w:pPr>
    </w:p>
    <w:bookmarkStart w:id="40" w:name="page41"/>
    <w:bookmarkEnd w:id="4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1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March 31, 2017</w:t>
            </w:r>
          </w:p>
        </w:tc>
        <w:tc>
          <w:tcPr>
            <w:tcW w:w="24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June 30, 2016</w:t>
            </w:r>
          </w:p>
        </w:tc>
        <w:tc>
          <w:tcPr>
            <w:tcW w:w="220" w:type="dxa"/>
            <w:vAlign w:val="bottom"/>
          </w:tcPr>
          <w:p>
            <w:pPr>
              <w:spacing w:after="0"/>
              <w:rPr>
                <w:sz w:val="19"/>
                <w:szCs w:val="19"/>
                <w:color w:val="auto"/>
              </w:rPr>
            </w:pPr>
          </w:p>
        </w:tc>
        <w:tc>
          <w:tcPr>
            <w:tcW w:w="19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March 31, 2016</w:t>
            </w: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22.77%</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30.02%</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25.41%</w:t>
            </w:r>
          </w:p>
        </w:tc>
      </w:tr>
      <w:tr>
        <w:trPr>
          <w:trHeight w:val="214"/>
        </w:trPr>
        <w:tc>
          <w:tcPr>
            <w:tcW w:w="444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0.46%</w:t>
            </w:r>
          </w:p>
        </w:tc>
        <w:tc>
          <w:tcPr>
            <w:tcW w:w="1900" w:type="dxa"/>
            <w:vAlign w:val="bottom"/>
            <w:gridSpan w:val="2"/>
          </w:tcPr>
          <w:p>
            <w:pPr>
              <w:jc w:val="right"/>
              <w:ind w:right="511"/>
              <w:spacing w:after="0"/>
              <w:rPr>
                <w:sz w:val="20"/>
                <w:szCs w:val="20"/>
                <w:color w:val="auto"/>
              </w:rPr>
            </w:pPr>
            <w:r>
              <w:rPr>
                <w:rFonts w:ascii="Arial" w:cs="Arial" w:eastAsia="Arial" w:hAnsi="Arial"/>
                <w:sz w:val="18"/>
                <w:szCs w:val="18"/>
                <w:color w:val="auto"/>
              </w:rPr>
              <w:t>0.34%</w:t>
            </w:r>
          </w:p>
        </w:tc>
        <w:tc>
          <w:tcPr>
            <w:tcW w:w="212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0.32%</w:t>
            </w:r>
          </w:p>
        </w:tc>
      </w:tr>
      <w:tr>
        <w:trPr>
          <w:trHeight w:val="214"/>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0.05%</w:t>
            </w:r>
          </w:p>
        </w:tc>
        <w:tc>
          <w:tcPr>
            <w:tcW w:w="190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0.18%</w:t>
            </w:r>
          </w:p>
        </w:tc>
        <w:tc>
          <w:tcPr>
            <w:tcW w:w="212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0.17%</w:t>
            </w:r>
          </w:p>
        </w:tc>
      </w:tr>
    </w:tbl>
    <w:p>
      <w:pPr>
        <w:spacing w:after="0" w:line="19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cash surrender value of the Company’s bank-owned life insurance (“BOLI”) assets increased $341 thousand, or 2.2% to $16.1 million at March 31, 2017, compared to $15.7 million at June 30, 2016.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11.0% of the Company’s regulatory total capital at March 31, 2017.</w:t>
      </w:r>
    </w:p>
    <w:p>
      <w:pPr>
        <w:spacing w:after="0" w:line="173"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Intangible assets totaled $1.4 million and $1.7 million at March 31, 2017 and June 30, 2016, respectively. The $324 thousand decrease was the result of core deposit intangible asset amortization during the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Capital, and Stock Repurchases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The Company’s principal source of funding is its core deposit accounts. At March 31, 2017, non-maturity accounts, and certificates of deposit with balances less than $250 thousand represented 100% of total deposits.</w:t>
      </w:r>
    </w:p>
    <w:p>
      <w:pPr>
        <w:spacing w:after="0" w:line="176"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Total deposits increased $49.1 million to $849.5 million as of March 31, 2017 from $800.4 million as of June 30, 2016. The increase, which funded growth in the Company’s loan portfolio, was centered mainly in money market accounts attracted through the Bank’s Community Banking Division.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March 31, 2017 and June 30,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4"/>
          </w:tcPr>
          <w:p>
            <w:pPr>
              <w:jc w:val="right"/>
              <w:ind w:right="1000"/>
              <w:spacing w:after="0"/>
              <w:rPr>
                <w:sz w:val="20"/>
                <w:szCs w:val="20"/>
                <w:color w:val="auto"/>
              </w:rPr>
            </w:pPr>
            <w:r>
              <w:rPr>
                <w:rFonts w:ascii="Arial" w:cs="Arial" w:eastAsia="Arial" w:hAnsi="Arial"/>
                <w:sz w:val="18"/>
                <w:szCs w:val="18"/>
                <w:color w:val="auto"/>
              </w:rPr>
              <w:t>March 31, 2017</w:t>
            </w:r>
          </w:p>
        </w:tc>
        <w:tc>
          <w:tcPr>
            <w:tcW w:w="200" w:type="dxa"/>
            <w:vAlign w:val="bottom"/>
          </w:tcPr>
          <w:p>
            <w:pPr>
              <w:spacing w:after="0"/>
              <w:rPr>
                <w:sz w:val="19"/>
                <w:szCs w:val="19"/>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color w:val="auto"/>
              </w:rPr>
              <w:t>June 30, 2016</w:t>
            </w:r>
          </w:p>
        </w:tc>
      </w:tr>
      <w:tr>
        <w:trPr>
          <w:trHeight w:val="209"/>
        </w:trPr>
        <w:tc>
          <w:tcPr>
            <w:tcW w:w="3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Amount</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160" w:type="dxa"/>
            <w:vAlign w:val="bottom"/>
          </w:tcPr>
          <w:p>
            <w:pPr>
              <w:spacing w:after="0"/>
              <w:rPr>
                <w:sz w:val="18"/>
                <w:szCs w:val="18"/>
                <w:color w:val="auto"/>
              </w:rPr>
            </w:pPr>
          </w:p>
        </w:tc>
      </w:tr>
      <w:tr>
        <w:trPr>
          <w:trHeight w:val="207"/>
        </w:trPr>
        <w:tc>
          <w:tcPr>
            <w:tcW w:w="3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color w:val="auto"/>
              </w:rPr>
              <w:t>(Dollars in thousands)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72,369</w:t>
            </w: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66,686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r>
      <w:tr>
        <w:trPr>
          <w:trHeight w:val="214"/>
        </w:trPr>
        <w:tc>
          <w:tcPr>
            <w:tcW w:w="3860" w:type="dxa"/>
            <w:vAlign w:val="bottom"/>
          </w:tcPr>
          <w:p>
            <w:pPr>
              <w:spacing w:after="0"/>
              <w:rPr>
                <w:sz w:val="20"/>
                <w:szCs w:val="20"/>
                <w:color w:val="auto"/>
              </w:rPr>
            </w:pPr>
            <w:r>
              <w:rPr>
                <w:rFonts w:ascii="Arial" w:cs="Arial" w:eastAsia="Arial" w:hAnsi="Arial"/>
                <w:sz w:val="18"/>
                <w:szCs w:val="18"/>
                <w:color w:val="auto"/>
              </w:rPr>
              <w:t>NOW accounts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70,609</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71,148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37,898</w:t>
            </w: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36,070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r>
      <w:tr>
        <w:trPr>
          <w:trHeight w:val="214"/>
        </w:trPr>
        <w:tc>
          <w:tcPr>
            <w:tcW w:w="3860" w:type="dxa"/>
            <w:vAlign w:val="bottom"/>
          </w:tcPr>
          <w:p>
            <w:pPr>
              <w:spacing w:after="0"/>
              <w:rPr>
                <w:sz w:val="20"/>
                <w:szCs w:val="20"/>
                <w:color w:val="auto"/>
              </w:rPr>
            </w:pPr>
            <w:r>
              <w:rPr>
                <w:rFonts w:ascii="Arial" w:cs="Arial" w:eastAsia="Arial" w:hAnsi="Arial"/>
                <w:sz w:val="18"/>
                <w:szCs w:val="18"/>
                <w:color w:val="auto"/>
              </w:rPr>
              <w:t>Money market deposits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347,658</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40.93%</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275,437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34.41%</w:t>
            </w:r>
          </w:p>
        </w:tc>
      </w:tr>
      <w:tr>
        <w:trPr>
          <w:trHeight w:val="20"/>
        </w:trPr>
        <w:tc>
          <w:tcPr>
            <w:tcW w:w="3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528,534</w:t>
            </w: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449,341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56.14%</w:t>
            </w:r>
          </w:p>
        </w:tc>
      </w:tr>
      <w:tr>
        <w:trPr>
          <w:trHeight w:val="20"/>
        </w:trPr>
        <w:tc>
          <w:tcPr>
            <w:tcW w:w="38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8"/>
                <w:szCs w:val="18"/>
                <w:color w:val="auto"/>
              </w:rPr>
              <w:t>Term certificates less than $250 thousand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320,945</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37.78%</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351,091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43.86%</w:t>
            </w: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of $250 thousand or more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38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86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320,945</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37.78%</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351,091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43.86%</w:t>
            </w:r>
          </w:p>
        </w:tc>
      </w:tr>
      <w:tr>
        <w:trPr>
          <w:trHeight w:val="24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849,479</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Advances from the Federal Home Loan Bank of Boston (“FHLBB”) were $20.0 million at March 31, 2017, as compared to $30.1 million at June 30, 2016. The decrease of $10.1 million was due to the maturity of one FHLBB advance. At March 31, 2017, the Company had pledged certain residential real estate loans and commercial real estate loans to secure outstanding advances and provide additional borrowing capacity. At March 31, 2017, no securities were pledged for outstanding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On June 29, 2016, the Company entered into a Subordinated Note Purchase Agreement with certain institutional accredited investors pursuant to which the Company issued subordinated notes equal to $15.05 million in aggregate principal amount with an interest rate of 6.75% fixed-to-floating maturing in 2026 (“subordinated notes”). The subordinated notes, net of issuance costs, totaled $14.6 million and $14.5 million at March 31, 2017 and June 30, 2016, respectively.</w:t>
      </w:r>
    </w:p>
    <w:p>
      <w:pPr>
        <w:spacing w:after="0" w:line="190"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The Company had junior subordinated debentures issued to affiliated trusts totaling $9.0 million and $8.8 million at March 31, 2017 and June 30, 2016, respectively.</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41" w:name="page42"/>
    <w:bookmarkEnd w:id="4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unused borrowing capacity of the Company at March 31, 2017, in addition to traditional retail deposit products: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Brokered time deposits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Federal Home Loan Bank of Boston</w:t>
      </w:r>
    </w:p>
    <w:p>
      <w:pPr>
        <w:spacing w:after="0" w:line="7"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Federal Discount Window Borrower-in-Custody Other available lines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unused borrowing capacity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As of March 31,</w:t>
      </w:r>
    </w:p>
    <w:p>
      <w:pPr>
        <w:spacing w:after="0" w:line="20"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2017</w:t>
      </w:r>
    </w:p>
    <w:p>
      <w:pPr>
        <w:spacing w:after="0" w:line="7"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9588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jc w:val="right"/>
        <w:ind w:right="5280"/>
        <w:spacing w:after="0"/>
        <w:rPr>
          <w:sz w:val="20"/>
          <w:szCs w:val="20"/>
          <w:color w:val="auto"/>
        </w:rPr>
      </w:pPr>
      <w:r>
        <w:rPr>
          <w:rFonts w:ascii="Arial" w:cs="Arial" w:eastAsia="Arial" w:hAnsi="Arial"/>
          <w:sz w:val="18"/>
          <w:szCs w:val="18"/>
          <w:color w:val="auto"/>
        </w:rPr>
        <w:t>thousands)</w:t>
      </w:r>
    </w:p>
    <w:p>
      <w:pPr>
        <w:spacing w:after="0" w:line="7" w:lineRule="exact"/>
        <w:rPr>
          <w:sz w:val="20"/>
          <w:szCs w:val="20"/>
          <w:color w:val="auto"/>
        </w:rPr>
      </w:pPr>
    </w:p>
    <w:p>
      <w:pPr>
        <w:ind w:left="922" w:hanging="922"/>
        <w:spacing w:after="0"/>
        <w:tabs>
          <w:tab w:leader="none" w:pos="9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256,762 Subject to policy limitation of 25%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-130175</wp:posOffset>
            </wp:positionV>
            <wp:extent cx="6882765" cy="135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2765" cy="135890"/>
                    </a:xfrm>
                    <a:prstGeom prst="rect">
                      <a:avLst/>
                    </a:prstGeom>
                    <a:noFill/>
                  </pic:spPr>
                </pic:pic>
              </a:graphicData>
            </a:graphic>
          </wp:anchor>
        </w:drawing>
      </w:r>
    </w:p>
    <w:p>
      <w:pPr>
        <w:ind w:left="1022"/>
        <w:spacing w:after="0"/>
        <w:rPr>
          <w:sz w:val="20"/>
          <w:szCs w:val="20"/>
          <w:color w:val="auto"/>
        </w:rPr>
      </w:pPr>
      <w:r>
        <w:rPr>
          <w:rFonts w:ascii="Arial" w:cs="Arial" w:eastAsia="Arial" w:hAnsi="Arial"/>
          <w:sz w:val="16"/>
          <w:szCs w:val="16"/>
          <w:color w:val="auto"/>
        </w:rPr>
        <w:t>80,897 Unused advance capacity subject to eligible and qualified collateral</w:t>
      </w:r>
    </w:p>
    <w:p>
      <w:pPr>
        <w:spacing w:after="0" w:line="30" w:lineRule="exact"/>
        <w:rPr>
          <w:sz w:val="20"/>
          <w:szCs w:val="20"/>
          <w:color w:val="auto"/>
        </w:rPr>
      </w:pPr>
    </w:p>
    <w:p>
      <w:pPr>
        <w:ind w:left="1102"/>
        <w:spacing w:after="0"/>
        <w:rPr>
          <w:sz w:val="20"/>
          <w:szCs w:val="20"/>
          <w:color w:val="auto"/>
        </w:rPr>
      </w:pPr>
      <w:r>
        <w:rPr>
          <w:rFonts w:ascii="Arial" w:cs="Arial" w:eastAsia="Arial" w:hAnsi="Arial"/>
          <w:sz w:val="18"/>
          <w:szCs w:val="18"/>
          <w:color w:val="auto"/>
        </w:rPr>
        <w:t>1,531 Unused credit line subject to the pledge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-130175</wp:posOffset>
            </wp:positionV>
            <wp:extent cx="6882765" cy="13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2765" cy="135890"/>
                    </a:xfrm>
                    <a:prstGeom prst="rect">
                      <a:avLst/>
                    </a:prstGeom>
                    <a:noFill/>
                  </pic:spPr>
                </pic:pic>
              </a:graphicData>
            </a:graphic>
          </wp:anchor>
        </w:drawing>
      </w:r>
    </w:p>
    <w:p>
      <w:pPr>
        <w:ind w:left="1022"/>
        <w:spacing w:after="0"/>
        <w:rPr>
          <w:sz w:val="20"/>
          <w:szCs w:val="20"/>
          <w:color w:val="auto"/>
        </w:rPr>
      </w:pPr>
      <w:r>
        <w:rPr>
          <w:rFonts w:ascii="Arial" w:cs="Arial" w:eastAsia="Arial" w:hAnsi="Arial"/>
          <w:sz w:val="18"/>
          <w:szCs w:val="18"/>
          <w:color w:val="auto"/>
        </w:rPr>
        <w:t>17,500</w:t>
      </w:r>
    </w:p>
    <w:p>
      <w:pPr>
        <w:spacing w:after="0" w:line="7" w:lineRule="exact"/>
        <w:rPr>
          <w:sz w:val="20"/>
          <w:szCs w:val="20"/>
          <w:color w:val="auto"/>
        </w:rPr>
      </w:pPr>
    </w:p>
    <w:p>
      <w:pPr>
        <w:ind w:left="922" w:hanging="922"/>
        <w:spacing w:after="0"/>
        <w:tabs>
          <w:tab w:leader="none" w:pos="9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356,690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-130175</wp:posOffset>
            </wp:positionV>
            <wp:extent cx="6882765" cy="169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2765" cy="16954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4100" w:space="518"/>
            <w:col w:w="6782"/>
          </w:cols>
          <w:pgMar w:left="240" w:top="118" w:right="259" w:bottom="1440" w:gutter="0" w:footer="0" w:header="0"/>
          <w:type w:val="continuous"/>
        </w:sectPr>
      </w:pPr>
    </w:p>
    <w:p>
      <w:pPr>
        <w:spacing w:after="0" w:line="21"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in the Federal Home Loan Bank of Boston may be required.</w:t>
      </w:r>
    </w:p>
    <w:p>
      <w:pPr>
        <w:spacing w:after="0" w:line="16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March 31, 2017, the Company had $436.6 million of immediately accessible liquidity, defined as cash that the Bank reasonably believes could be raised within seven days through collateralized borrowings, brokered deposits or security sales. This position represented 42.5% of total assets. The Company also had $147.4 million of cash and cash equivalents at March 31, 2017.</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unpaid principal balance and carrying amount of junior subordinated debentures totaled $16.5 million and $9.0 million, respectively, as of March 31, 2017. The unpaid principal balance and carrying amount of subordinated debt totaled $15.1 million and $14.6 million, respectively, as of March 31, 2017. The junior subordinated debt represents qualifying Tier 1 capital for the Company, up to a maximum of 25% of total Tier 1 capital, and the and subordinated debt represents qualifying Tier II capital for the Company. At March 31, 2017, the carrying amounts of the junior subordinated debt, net of the Company’s $496 thousand investment in the affiliated trusts, qualified as Tier 1 capital, and the subordinated debt qualified as Tier II capital.</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March 31, 2017, shareholders’ equity was $118.7 million, an increase of $2.1 million, or 1.8% from June 30, 2016. Book value per outstanding common share was $13.46 at March 31, 2017 and $12.51 at June 30, 2016. Tier 1 capital to total average assets of the Company was 12.47% as of March 31, 2017 and 13.27% at June 30, 2016.</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 (iii) 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42" w:name="page43"/>
    <w:bookmarkEnd w:id="4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Minimum</w:t>
            </w:r>
          </w:p>
        </w:tc>
      </w:tr>
      <w:tr>
        <w:trPr>
          <w:trHeight w:val="214"/>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7"/>
          </w:tcPr>
          <w:p>
            <w:pPr>
              <w:jc w:val="center"/>
              <w:ind w:right="420"/>
              <w:spacing w:after="0"/>
              <w:rPr>
                <w:sz w:val="20"/>
                <w:szCs w:val="20"/>
                <w:color w:val="auto"/>
              </w:rPr>
            </w:pPr>
            <w:r>
              <w:rPr>
                <w:rFonts w:ascii="Arial" w:cs="Arial" w:eastAsia="Arial" w:hAnsi="Arial"/>
                <w:sz w:val="18"/>
                <w:szCs w:val="18"/>
                <w:color w:val="auto"/>
                <w:w w:val="93"/>
              </w:rPr>
              <w:t>Minimum To Be Well</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r>
      <w:tr>
        <w:trPr>
          <w:trHeight w:val="214"/>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Capitalized Under</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with Capital</w:t>
            </w:r>
          </w:p>
        </w:tc>
      </w:tr>
      <w:tr>
        <w:trPr>
          <w:trHeight w:val="214"/>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6"/>
          </w:tcPr>
          <w:p>
            <w:pPr>
              <w:ind w:left="220"/>
              <w:spacing w:after="0"/>
              <w:rPr>
                <w:sz w:val="20"/>
                <w:szCs w:val="20"/>
                <w:color w:val="auto"/>
              </w:rPr>
            </w:pPr>
            <w:r>
              <w:rPr>
                <w:rFonts w:ascii="Arial" w:cs="Arial" w:eastAsia="Arial" w:hAnsi="Arial"/>
                <w:sz w:val="18"/>
                <w:szCs w:val="18"/>
                <w:color w:val="auto"/>
              </w:rPr>
              <w:t>Minimum Capital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7"/>
          </w:tcPr>
          <w:p>
            <w:pPr>
              <w:jc w:val="center"/>
              <w:ind w:right="420"/>
              <w:spacing w:after="0"/>
              <w:rPr>
                <w:sz w:val="20"/>
                <w:szCs w:val="20"/>
                <w:color w:val="auto"/>
              </w:rPr>
            </w:pPr>
            <w:r>
              <w:rPr>
                <w:rFonts w:ascii="Arial" w:cs="Arial" w:eastAsia="Arial" w:hAnsi="Arial"/>
                <w:sz w:val="18"/>
                <w:szCs w:val="18"/>
                <w:color w:val="auto"/>
                <w:w w:val="90"/>
              </w:rPr>
              <w:t>Prompt Corrective</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Conservation</w:t>
            </w:r>
          </w:p>
        </w:tc>
      </w:tr>
      <w:tr>
        <w:trPr>
          <w:trHeight w:val="227"/>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ind w:left="740"/>
              <w:spacing w:after="0"/>
              <w:rPr>
                <w:sz w:val="20"/>
                <w:szCs w:val="20"/>
                <w:color w:val="auto"/>
              </w:rPr>
            </w:pPr>
            <w:r>
              <w:rPr>
                <w:rFonts w:ascii="Arial" w:cs="Arial" w:eastAsia="Arial" w:hAnsi="Arial"/>
                <w:sz w:val="18"/>
                <w:szCs w:val="18"/>
                <w:color w:val="auto"/>
              </w:rPr>
              <w:t>Actual</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6"/>
          </w:tcPr>
          <w:p>
            <w:pPr>
              <w:ind w:left="360"/>
              <w:spacing w:after="0"/>
              <w:rPr>
                <w:sz w:val="20"/>
                <w:szCs w:val="20"/>
                <w:color w:val="auto"/>
              </w:rPr>
            </w:pPr>
            <w:r>
              <w:rPr>
                <w:rFonts w:ascii="Arial" w:cs="Arial" w:eastAsia="Arial" w:hAnsi="Arial"/>
                <w:sz w:val="18"/>
                <w:szCs w:val="18"/>
                <w:color w:val="auto"/>
              </w:rPr>
              <w:t>Requirements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7"/>
          </w:tcPr>
          <w:p>
            <w:pPr>
              <w:jc w:val="center"/>
              <w:ind w:right="420"/>
              <w:spacing w:after="0"/>
              <w:rPr>
                <w:sz w:val="20"/>
                <w:szCs w:val="20"/>
                <w:color w:val="auto"/>
              </w:rPr>
            </w:pPr>
            <w:r>
              <w:rPr>
                <w:rFonts w:ascii="Arial" w:cs="Arial" w:eastAsia="Arial" w:hAnsi="Arial"/>
                <w:sz w:val="18"/>
                <w:szCs w:val="18"/>
                <w:color w:val="auto"/>
                <w:w w:val="92"/>
              </w:rPr>
              <w:t>Action Provisions</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Buffer (1)</w:t>
            </w:r>
          </w:p>
        </w:tc>
      </w:tr>
      <w:tr>
        <w:trPr>
          <w:trHeight w:val="209"/>
        </w:trPr>
        <w:tc>
          <w:tcPr>
            <w:tcW w:w="3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Ratio</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4"/>
          </w:tcPr>
          <w:p>
            <w:pPr>
              <w:jc w:val="right"/>
              <w:ind w:right="231"/>
              <w:spacing w:after="0"/>
              <w:rPr>
                <w:sz w:val="20"/>
                <w:szCs w:val="20"/>
                <w:color w:val="auto"/>
              </w:rPr>
            </w:pPr>
            <w:r>
              <w:rPr>
                <w:rFonts w:ascii="Arial" w:cs="Arial" w:eastAsia="Arial" w:hAnsi="Arial"/>
                <w:sz w:val="18"/>
                <w:szCs w:val="18"/>
                <w:color w:val="auto"/>
              </w:rPr>
              <w:t>Ratio</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r>
      <w:tr>
        <w:trPr>
          <w:trHeight w:val="420"/>
        </w:trPr>
        <w:tc>
          <w:tcPr>
            <w:tcW w:w="3100" w:type="dxa"/>
            <w:vAlign w:val="bottom"/>
          </w:tcPr>
          <w:p>
            <w:pPr>
              <w:spacing w:after="0"/>
              <w:rPr>
                <w:sz w:val="20"/>
                <w:szCs w:val="20"/>
                <w:color w:val="auto"/>
              </w:rPr>
            </w:pPr>
            <w:r>
              <w:rPr>
                <w:rFonts w:ascii="Arial" w:cs="Arial" w:eastAsia="Arial" w:hAnsi="Arial"/>
                <w:sz w:val="18"/>
                <w:szCs w:val="18"/>
                <w:color w:val="auto"/>
              </w:rPr>
              <w:t>March 31, 2017: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8"/>
          </w:tcPr>
          <w:p>
            <w:pPr>
              <w:ind w:left="600"/>
              <w:spacing w:after="0"/>
              <w:rPr>
                <w:sz w:val="20"/>
                <w:szCs w:val="20"/>
                <w:color w:val="auto"/>
              </w:rPr>
            </w:pPr>
            <w:r>
              <w:rPr>
                <w:rFonts w:ascii="Arial" w:cs="Arial" w:eastAsia="Arial" w:hAnsi="Arial"/>
                <w:sz w:val="18"/>
                <w:szCs w:val="18"/>
                <w:color w:val="auto"/>
                <w:w w:val="89"/>
              </w:rPr>
              <w:t>(Dollars in thousands)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weighted assets: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74"/>
        </w:trPr>
        <w:tc>
          <w:tcPr>
            <w:tcW w:w="3100" w:type="dxa"/>
            <w:vAlign w:val="bottom"/>
          </w:tcPr>
          <w:p>
            <w:pPr>
              <w:ind w:left="160"/>
              <w:spacing w:after="0" w:line="174" w:lineRule="exact"/>
              <w:rPr>
                <w:sz w:val="20"/>
                <w:szCs w:val="20"/>
                <w:color w:val="auto"/>
              </w:rPr>
            </w:pPr>
            <w:r>
              <w:rPr>
                <w:rFonts w:ascii="Arial" w:cs="Arial" w:eastAsia="Arial" w:hAnsi="Arial"/>
                <w:sz w:val="18"/>
                <w:szCs w:val="18"/>
                <w:color w:val="auto"/>
              </w:rPr>
              <w:t>Company</w:t>
            </w:r>
          </w:p>
        </w:tc>
        <w:tc>
          <w:tcPr>
            <w:tcW w:w="160" w:type="dxa"/>
            <w:vAlign w:val="bottom"/>
          </w:tcPr>
          <w:p>
            <w:pPr>
              <w:jc w:val="right"/>
              <w:spacing w:after="0" w:line="17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line="174" w:lineRule="exact"/>
              <w:rPr>
                <w:sz w:val="20"/>
                <w:szCs w:val="20"/>
                <w:color w:val="auto"/>
              </w:rPr>
            </w:pPr>
            <w:r>
              <w:rPr>
                <w:rFonts w:ascii="Arial" w:cs="Arial" w:eastAsia="Arial" w:hAnsi="Arial"/>
                <w:sz w:val="18"/>
                <w:szCs w:val="18"/>
                <w:color w:val="auto"/>
              </w:rPr>
              <w:t>119,347</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line="174" w:lineRule="exact"/>
              <w:rPr>
                <w:sz w:val="20"/>
                <w:szCs w:val="20"/>
                <w:color w:val="auto"/>
              </w:rPr>
            </w:pPr>
            <w:r>
              <w:rPr>
                <w:rFonts w:ascii="Arial" w:cs="Arial" w:eastAsia="Arial" w:hAnsi="Arial"/>
                <w:sz w:val="18"/>
                <w:szCs w:val="18"/>
                <w:color w:val="auto"/>
              </w:rPr>
              <w:t>15.80%</w:t>
            </w:r>
          </w:p>
        </w:tc>
        <w:tc>
          <w:tcPr>
            <w:tcW w:w="160" w:type="dxa"/>
            <w:vAlign w:val="bottom"/>
          </w:tcPr>
          <w:p>
            <w:pPr>
              <w:jc w:val="right"/>
              <w:spacing w:after="0" w:line="174"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80"/>
              <w:spacing w:after="0" w:line="174" w:lineRule="exact"/>
              <w:rPr>
                <w:sz w:val="20"/>
                <w:szCs w:val="20"/>
                <w:color w:val="auto"/>
              </w:rPr>
            </w:pPr>
            <w:r>
              <w:rPr>
                <w:rFonts w:ascii="Arial" w:cs="Arial" w:eastAsia="Arial" w:hAnsi="Arial"/>
                <w:sz w:val="18"/>
                <w:szCs w:val="18"/>
                <w:color w:val="auto"/>
              </w:rPr>
              <w:t>33,990</w:t>
            </w:r>
          </w:p>
        </w:tc>
        <w:tc>
          <w:tcPr>
            <w:tcW w:w="98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auto"/>
              </w:rPr>
              <w:t>&gt;4.5%</w:t>
            </w:r>
          </w:p>
        </w:tc>
        <w:tc>
          <w:tcPr>
            <w:tcW w:w="24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174"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60"/>
              <w:spacing w:after="0" w:line="174"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7.0%</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100" w:type="dxa"/>
            <w:vAlign w:val="bottom"/>
            <w:shd w:val="clear" w:color="auto" w:fill="CCEEFF"/>
          </w:tcPr>
          <w:p>
            <w:pPr>
              <w:ind w:left="160"/>
              <w:spacing w:after="0" w:line="174" w:lineRule="exact"/>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134,949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74" w:lineRule="exact"/>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74" w:lineRule="exact"/>
              <w:rPr>
                <w:sz w:val="20"/>
                <w:szCs w:val="20"/>
                <w:color w:val="auto"/>
              </w:rPr>
            </w:pPr>
            <w:r>
              <w:rPr>
                <w:rFonts w:ascii="Arial" w:cs="Arial" w:eastAsia="Arial" w:hAnsi="Arial"/>
                <w:sz w:val="18"/>
                <w:szCs w:val="18"/>
                <w:color w:val="auto"/>
              </w:rPr>
              <w:t>34,023</w:t>
            </w:r>
          </w:p>
        </w:tc>
        <w:tc>
          <w:tcPr>
            <w:tcW w:w="980" w:type="dxa"/>
            <w:vAlign w:val="bottom"/>
            <w:gridSpan w:val="4"/>
            <w:shd w:val="clear" w:color="auto" w:fill="CCEEFF"/>
          </w:tcPr>
          <w:p>
            <w:pPr>
              <w:jc w:val="right"/>
              <w:ind w:right="60"/>
              <w:spacing w:after="0" w:line="174" w:lineRule="exact"/>
              <w:rPr>
                <w:sz w:val="20"/>
                <w:szCs w:val="20"/>
                <w:color w:val="auto"/>
              </w:rPr>
            </w:pPr>
            <w:r>
              <w:rPr>
                <w:rFonts w:ascii="Arial" w:cs="Arial" w:eastAsia="Arial" w:hAnsi="Arial"/>
                <w:sz w:val="18"/>
                <w:szCs w:val="18"/>
                <w:color w:val="auto"/>
              </w:rPr>
              <w:t>&gt;4.5%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8"/>
                <w:szCs w:val="18"/>
                <w:color w:val="auto"/>
              </w:rPr>
              <w:t>49,145</w:t>
            </w:r>
          </w:p>
        </w:tc>
        <w:tc>
          <w:tcPr>
            <w:tcW w:w="1220" w:type="dxa"/>
            <w:vAlign w:val="bottom"/>
            <w:gridSpan w:val="5"/>
            <w:shd w:val="clear" w:color="auto" w:fill="CCEEFF"/>
          </w:tcPr>
          <w:p>
            <w:pPr>
              <w:jc w:val="right"/>
              <w:ind w:right="200"/>
              <w:spacing w:after="0" w:line="174" w:lineRule="exact"/>
              <w:rPr>
                <w:sz w:val="20"/>
                <w:szCs w:val="20"/>
                <w:color w:val="auto"/>
              </w:rPr>
            </w:pPr>
            <w:r>
              <w:rPr>
                <w:rFonts w:ascii="Arial" w:cs="Arial" w:eastAsia="Arial" w:hAnsi="Arial"/>
                <w:sz w:val="18"/>
                <w:szCs w:val="18"/>
                <w:color w:val="auto"/>
              </w:rPr>
              <w:t>&gt;6.5%</w:t>
            </w:r>
          </w:p>
        </w:tc>
        <w:tc>
          <w:tcPr>
            <w:tcW w:w="1180" w:type="dxa"/>
            <w:vAlign w:val="bottom"/>
            <w:gridSpan w:val="2"/>
            <w:shd w:val="clear" w:color="auto" w:fill="CCEEFF"/>
          </w:tcPr>
          <w:p>
            <w:pPr>
              <w:jc w:val="right"/>
              <w:ind w:right="20"/>
              <w:spacing w:after="0" w:line="174" w:lineRule="exact"/>
              <w:rPr>
                <w:sz w:val="20"/>
                <w:szCs w:val="20"/>
                <w:color w:val="auto"/>
              </w:rPr>
            </w:pPr>
            <w:r>
              <w:rPr>
                <w:rFonts w:ascii="Arial" w:cs="Arial" w:eastAsia="Arial" w:hAnsi="Arial"/>
                <w:sz w:val="18"/>
                <w:szCs w:val="18"/>
                <w:color w:val="auto"/>
              </w:rPr>
              <w:t>7.0%</w:t>
            </w:r>
          </w:p>
        </w:tc>
      </w:tr>
      <w:tr>
        <w:trPr>
          <w:trHeight w:val="214"/>
        </w:trPr>
        <w:tc>
          <w:tcPr>
            <w:tcW w:w="3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4"/>
        </w:trPr>
        <w:tc>
          <w:tcPr>
            <w:tcW w:w="3100" w:type="dxa"/>
            <w:vAlign w:val="bottom"/>
          </w:tcPr>
          <w:p>
            <w:pPr>
              <w:ind w:left="160"/>
              <w:spacing w:after="0" w:line="174" w:lineRule="exact"/>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8"/>
                <w:szCs w:val="18"/>
                <w:color w:val="auto"/>
              </w:rPr>
              <w:t>145,839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line="174" w:lineRule="exact"/>
              <w:rPr>
                <w:sz w:val="20"/>
                <w:szCs w:val="20"/>
                <w:color w:val="auto"/>
              </w:rPr>
            </w:pPr>
            <w:r>
              <w:rPr>
                <w:rFonts w:ascii="Arial" w:cs="Arial" w:eastAsia="Arial" w:hAnsi="Arial"/>
                <w:sz w:val="18"/>
                <w:szCs w:val="18"/>
                <w:color w:val="auto"/>
              </w:rPr>
              <w:t>19.31%</w:t>
            </w:r>
          </w:p>
        </w:tc>
        <w:tc>
          <w:tcPr>
            <w:tcW w:w="160" w:type="dxa"/>
            <w:vAlign w:val="bottom"/>
          </w:tcPr>
          <w:p>
            <w:pPr>
              <w:spacing w:after="0"/>
              <w:rPr>
                <w:sz w:val="15"/>
                <w:szCs w:val="15"/>
                <w:color w:val="auto"/>
              </w:rPr>
            </w:pPr>
          </w:p>
        </w:tc>
        <w:tc>
          <w:tcPr>
            <w:tcW w:w="960" w:type="dxa"/>
            <w:vAlign w:val="bottom"/>
            <w:gridSpan w:val="2"/>
          </w:tcPr>
          <w:p>
            <w:pPr>
              <w:ind w:left="380"/>
              <w:spacing w:after="0" w:line="174" w:lineRule="exact"/>
              <w:rPr>
                <w:sz w:val="20"/>
                <w:szCs w:val="20"/>
                <w:color w:val="auto"/>
              </w:rPr>
            </w:pPr>
            <w:r>
              <w:rPr>
                <w:rFonts w:ascii="Arial" w:cs="Arial" w:eastAsia="Arial" w:hAnsi="Arial"/>
                <w:sz w:val="18"/>
                <w:szCs w:val="18"/>
                <w:color w:val="auto"/>
              </w:rPr>
              <w:t>60,427</w:t>
            </w:r>
          </w:p>
        </w:tc>
        <w:tc>
          <w:tcPr>
            <w:tcW w:w="98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auto"/>
              </w:rPr>
              <w:t>&gt;8.0%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line="174"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60"/>
              <w:spacing w:after="0" w:line="174"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10.5%</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100" w:type="dxa"/>
            <w:vAlign w:val="bottom"/>
            <w:shd w:val="clear" w:color="auto" w:fill="CCEEFF"/>
          </w:tcPr>
          <w:p>
            <w:pPr>
              <w:ind w:left="160"/>
              <w:spacing w:after="0" w:line="174" w:lineRule="exact"/>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138,392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74" w:lineRule="exact"/>
              <w:rPr>
                <w:sz w:val="20"/>
                <w:szCs w:val="20"/>
                <w:color w:val="auto"/>
              </w:rPr>
            </w:pPr>
            <w:r>
              <w:rPr>
                <w:rFonts w:ascii="Arial" w:cs="Arial" w:eastAsia="Arial" w:hAnsi="Arial"/>
                <w:sz w:val="18"/>
                <w:szCs w:val="18"/>
                <w:color w:val="auto"/>
              </w:rPr>
              <w:t>18.30%</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74" w:lineRule="exact"/>
              <w:rPr>
                <w:sz w:val="20"/>
                <w:szCs w:val="20"/>
                <w:color w:val="auto"/>
              </w:rPr>
            </w:pPr>
            <w:r>
              <w:rPr>
                <w:rFonts w:ascii="Arial" w:cs="Arial" w:eastAsia="Arial" w:hAnsi="Arial"/>
                <w:sz w:val="18"/>
                <w:szCs w:val="18"/>
                <w:color w:val="auto"/>
              </w:rPr>
              <w:t>60,486</w:t>
            </w:r>
          </w:p>
        </w:tc>
        <w:tc>
          <w:tcPr>
            <w:tcW w:w="980" w:type="dxa"/>
            <w:vAlign w:val="bottom"/>
            <w:gridSpan w:val="4"/>
            <w:shd w:val="clear" w:color="auto" w:fill="CCEEFF"/>
          </w:tcPr>
          <w:p>
            <w:pPr>
              <w:jc w:val="right"/>
              <w:ind w:right="60"/>
              <w:spacing w:after="0" w:line="174" w:lineRule="exact"/>
              <w:rPr>
                <w:sz w:val="20"/>
                <w:szCs w:val="20"/>
                <w:color w:val="auto"/>
              </w:rPr>
            </w:pPr>
            <w:r>
              <w:rPr>
                <w:rFonts w:ascii="Arial" w:cs="Arial" w:eastAsia="Arial" w:hAnsi="Arial"/>
                <w:sz w:val="18"/>
                <w:szCs w:val="18"/>
                <w:color w:val="auto"/>
              </w:rPr>
              <w:t>&gt;8.0%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8"/>
                <w:szCs w:val="18"/>
                <w:color w:val="auto"/>
              </w:rPr>
              <w:t>75,607</w:t>
            </w:r>
          </w:p>
        </w:tc>
        <w:tc>
          <w:tcPr>
            <w:tcW w:w="1220" w:type="dxa"/>
            <w:vAlign w:val="bottom"/>
            <w:gridSpan w:val="5"/>
            <w:shd w:val="clear" w:color="auto" w:fill="CCEEFF"/>
          </w:tcPr>
          <w:p>
            <w:pPr>
              <w:jc w:val="right"/>
              <w:ind w:right="200"/>
              <w:spacing w:after="0" w:line="174" w:lineRule="exact"/>
              <w:rPr>
                <w:sz w:val="20"/>
                <w:szCs w:val="20"/>
                <w:color w:val="auto"/>
              </w:rPr>
            </w:pPr>
            <w:r>
              <w:rPr>
                <w:rFonts w:ascii="Arial" w:cs="Arial" w:eastAsia="Arial" w:hAnsi="Arial"/>
                <w:sz w:val="18"/>
                <w:szCs w:val="18"/>
                <w:color w:val="auto"/>
              </w:rPr>
              <w:t>&gt;10.0%</w:t>
            </w:r>
          </w:p>
        </w:tc>
        <w:tc>
          <w:tcPr>
            <w:tcW w:w="1180" w:type="dxa"/>
            <w:vAlign w:val="bottom"/>
            <w:gridSpan w:val="2"/>
            <w:shd w:val="clear" w:color="auto" w:fill="CCEEFF"/>
          </w:tcPr>
          <w:p>
            <w:pPr>
              <w:jc w:val="right"/>
              <w:ind w:right="20"/>
              <w:spacing w:after="0" w:line="174" w:lineRule="exact"/>
              <w:rPr>
                <w:sz w:val="20"/>
                <w:szCs w:val="20"/>
                <w:color w:val="auto"/>
              </w:rPr>
            </w:pPr>
            <w:r>
              <w:rPr>
                <w:rFonts w:ascii="Arial" w:cs="Arial" w:eastAsia="Arial" w:hAnsi="Arial"/>
                <w:sz w:val="18"/>
                <w:szCs w:val="18"/>
                <w:color w:val="auto"/>
              </w:rPr>
              <w:t>10.5%</w:t>
            </w:r>
          </w:p>
        </w:tc>
      </w:tr>
      <w:tr>
        <w:trPr>
          <w:trHeight w:val="214"/>
        </w:trPr>
        <w:tc>
          <w:tcPr>
            <w:tcW w:w="3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4"/>
        </w:trPr>
        <w:tc>
          <w:tcPr>
            <w:tcW w:w="3100" w:type="dxa"/>
            <w:vAlign w:val="bottom"/>
          </w:tcPr>
          <w:p>
            <w:pPr>
              <w:ind w:left="160"/>
              <w:spacing w:after="0" w:line="174" w:lineRule="exact"/>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8"/>
                <w:szCs w:val="18"/>
                <w:color w:val="auto"/>
              </w:rPr>
              <w:t>127,815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line="174" w:lineRule="exact"/>
              <w:rPr>
                <w:sz w:val="20"/>
                <w:szCs w:val="20"/>
                <w:color w:val="auto"/>
              </w:rPr>
            </w:pPr>
            <w:r>
              <w:rPr>
                <w:rFonts w:ascii="Arial" w:cs="Arial" w:eastAsia="Arial" w:hAnsi="Arial"/>
                <w:sz w:val="18"/>
                <w:szCs w:val="18"/>
                <w:color w:val="auto"/>
              </w:rPr>
              <w:t>16.92%</w:t>
            </w:r>
          </w:p>
        </w:tc>
        <w:tc>
          <w:tcPr>
            <w:tcW w:w="160" w:type="dxa"/>
            <w:vAlign w:val="bottom"/>
          </w:tcPr>
          <w:p>
            <w:pPr>
              <w:spacing w:after="0"/>
              <w:rPr>
                <w:sz w:val="15"/>
                <w:szCs w:val="15"/>
                <w:color w:val="auto"/>
              </w:rPr>
            </w:pPr>
          </w:p>
        </w:tc>
        <w:tc>
          <w:tcPr>
            <w:tcW w:w="960" w:type="dxa"/>
            <w:vAlign w:val="bottom"/>
            <w:gridSpan w:val="2"/>
          </w:tcPr>
          <w:p>
            <w:pPr>
              <w:ind w:left="380"/>
              <w:spacing w:after="0" w:line="174" w:lineRule="exact"/>
              <w:rPr>
                <w:sz w:val="20"/>
                <w:szCs w:val="20"/>
                <w:color w:val="auto"/>
              </w:rPr>
            </w:pPr>
            <w:r>
              <w:rPr>
                <w:rFonts w:ascii="Arial" w:cs="Arial" w:eastAsia="Arial" w:hAnsi="Arial"/>
                <w:sz w:val="18"/>
                <w:szCs w:val="18"/>
                <w:color w:val="auto"/>
              </w:rPr>
              <w:t>45,321</w:t>
            </w:r>
          </w:p>
        </w:tc>
        <w:tc>
          <w:tcPr>
            <w:tcW w:w="98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auto"/>
              </w:rPr>
              <w:t>&gt;6.0%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line="174"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60"/>
              <w:spacing w:after="0" w:line="174"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8.5%</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100" w:type="dxa"/>
            <w:vAlign w:val="bottom"/>
            <w:shd w:val="clear" w:color="auto" w:fill="CCEEFF"/>
          </w:tcPr>
          <w:p>
            <w:pPr>
              <w:ind w:left="160"/>
              <w:spacing w:after="0" w:line="174" w:lineRule="exact"/>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134,949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74" w:lineRule="exact"/>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74" w:lineRule="exact"/>
              <w:rPr>
                <w:sz w:val="20"/>
                <w:szCs w:val="20"/>
                <w:color w:val="auto"/>
              </w:rPr>
            </w:pPr>
            <w:r>
              <w:rPr>
                <w:rFonts w:ascii="Arial" w:cs="Arial" w:eastAsia="Arial" w:hAnsi="Arial"/>
                <w:sz w:val="18"/>
                <w:szCs w:val="18"/>
                <w:color w:val="auto"/>
              </w:rPr>
              <w:t>45,364</w:t>
            </w:r>
          </w:p>
        </w:tc>
        <w:tc>
          <w:tcPr>
            <w:tcW w:w="980" w:type="dxa"/>
            <w:vAlign w:val="bottom"/>
            <w:gridSpan w:val="4"/>
            <w:shd w:val="clear" w:color="auto" w:fill="CCEEFF"/>
          </w:tcPr>
          <w:p>
            <w:pPr>
              <w:jc w:val="right"/>
              <w:ind w:right="60"/>
              <w:spacing w:after="0" w:line="174" w:lineRule="exact"/>
              <w:rPr>
                <w:sz w:val="20"/>
                <w:szCs w:val="20"/>
                <w:color w:val="auto"/>
              </w:rPr>
            </w:pPr>
            <w:r>
              <w:rPr>
                <w:rFonts w:ascii="Arial" w:cs="Arial" w:eastAsia="Arial" w:hAnsi="Arial"/>
                <w:sz w:val="18"/>
                <w:szCs w:val="18"/>
                <w:color w:val="auto"/>
              </w:rPr>
              <w:t>&gt;6.0%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8"/>
                <w:szCs w:val="18"/>
                <w:color w:val="auto"/>
              </w:rPr>
              <w:t>60,486</w:t>
            </w:r>
          </w:p>
        </w:tc>
        <w:tc>
          <w:tcPr>
            <w:tcW w:w="1220" w:type="dxa"/>
            <w:vAlign w:val="bottom"/>
            <w:gridSpan w:val="5"/>
            <w:shd w:val="clear" w:color="auto" w:fill="CCEEFF"/>
          </w:tcPr>
          <w:p>
            <w:pPr>
              <w:jc w:val="right"/>
              <w:ind w:right="200"/>
              <w:spacing w:after="0" w:line="174" w:lineRule="exact"/>
              <w:rPr>
                <w:sz w:val="20"/>
                <w:szCs w:val="20"/>
                <w:color w:val="auto"/>
              </w:rPr>
            </w:pPr>
            <w:r>
              <w:rPr>
                <w:rFonts w:ascii="Arial" w:cs="Arial" w:eastAsia="Arial" w:hAnsi="Arial"/>
                <w:sz w:val="18"/>
                <w:szCs w:val="18"/>
                <w:color w:val="auto"/>
              </w:rPr>
              <w:t>&gt;8.0%</w:t>
            </w:r>
          </w:p>
        </w:tc>
        <w:tc>
          <w:tcPr>
            <w:tcW w:w="1180" w:type="dxa"/>
            <w:vAlign w:val="bottom"/>
            <w:gridSpan w:val="2"/>
            <w:shd w:val="clear" w:color="auto" w:fill="CCEEFF"/>
          </w:tcPr>
          <w:p>
            <w:pPr>
              <w:jc w:val="right"/>
              <w:ind w:right="20"/>
              <w:spacing w:after="0" w:line="174" w:lineRule="exact"/>
              <w:rPr>
                <w:sz w:val="20"/>
                <w:szCs w:val="20"/>
                <w:color w:val="auto"/>
              </w:rPr>
            </w:pPr>
            <w:r>
              <w:rPr>
                <w:rFonts w:ascii="Arial" w:cs="Arial" w:eastAsia="Arial" w:hAnsi="Arial"/>
                <w:sz w:val="18"/>
                <w:szCs w:val="18"/>
                <w:color w:val="auto"/>
              </w:rPr>
              <w:t>8.5%</w:t>
            </w:r>
          </w:p>
        </w:tc>
      </w:tr>
      <w:tr>
        <w:trPr>
          <w:trHeight w:val="214"/>
        </w:trPr>
        <w:tc>
          <w:tcPr>
            <w:tcW w:w="3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4"/>
        </w:trPr>
        <w:tc>
          <w:tcPr>
            <w:tcW w:w="3100" w:type="dxa"/>
            <w:vAlign w:val="bottom"/>
          </w:tcPr>
          <w:p>
            <w:pPr>
              <w:ind w:left="160"/>
              <w:spacing w:after="0" w:line="174" w:lineRule="exact"/>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8"/>
                <w:szCs w:val="18"/>
                <w:color w:val="auto"/>
              </w:rPr>
              <w:t>127,815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line="174" w:lineRule="exact"/>
              <w:rPr>
                <w:sz w:val="20"/>
                <w:szCs w:val="20"/>
                <w:color w:val="auto"/>
              </w:rPr>
            </w:pPr>
            <w:r>
              <w:rPr>
                <w:rFonts w:ascii="Arial" w:cs="Arial" w:eastAsia="Arial" w:hAnsi="Arial"/>
                <w:sz w:val="18"/>
                <w:szCs w:val="18"/>
                <w:color w:val="auto"/>
              </w:rPr>
              <w:t>12.47%</w:t>
            </w:r>
          </w:p>
        </w:tc>
        <w:tc>
          <w:tcPr>
            <w:tcW w:w="160" w:type="dxa"/>
            <w:vAlign w:val="bottom"/>
          </w:tcPr>
          <w:p>
            <w:pPr>
              <w:spacing w:after="0"/>
              <w:rPr>
                <w:sz w:val="15"/>
                <w:szCs w:val="15"/>
                <w:color w:val="auto"/>
              </w:rPr>
            </w:pPr>
          </w:p>
        </w:tc>
        <w:tc>
          <w:tcPr>
            <w:tcW w:w="960" w:type="dxa"/>
            <w:vAlign w:val="bottom"/>
            <w:gridSpan w:val="2"/>
          </w:tcPr>
          <w:p>
            <w:pPr>
              <w:ind w:left="380"/>
              <w:spacing w:after="0" w:line="174" w:lineRule="exact"/>
              <w:rPr>
                <w:sz w:val="20"/>
                <w:szCs w:val="20"/>
                <w:color w:val="auto"/>
              </w:rPr>
            </w:pPr>
            <w:r>
              <w:rPr>
                <w:rFonts w:ascii="Arial" w:cs="Arial" w:eastAsia="Arial" w:hAnsi="Arial"/>
                <w:sz w:val="18"/>
                <w:szCs w:val="18"/>
                <w:color w:val="auto"/>
              </w:rPr>
              <w:t>41,001</w:t>
            </w:r>
          </w:p>
        </w:tc>
        <w:tc>
          <w:tcPr>
            <w:tcW w:w="98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auto"/>
              </w:rPr>
              <w:t>&gt;4.0%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line="174"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60"/>
              <w:spacing w:after="0" w:line="174"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4" w:lineRule="exact"/>
              <w:rPr>
                <w:sz w:val="20"/>
                <w:szCs w:val="20"/>
                <w:color w:val="auto"/>
              </w:rPr>
            </w:pPr>
            <w:r>
              <w:rPr>
                <w:rFonts w:ascii="Arial" w:cs="Arial" w:eastAsia="Arial" w:hAnsi="Arial"/>
                <w:sz w:val="18"/>
                <w:szCs w:val="18"/>
                <w:color w:val="auto"/>
              </w:rPr>
              <w:t>4.0%</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100" w:type="dxa"/>
            <w:vAlign w:val="bottom"/>
            <w:shd w:val="clear" w:color="auto" w:fill="CCEEFF"/>
          </w:tcPr>
          <w:p>
            <w:pPr>
              <w:ind w:left="160"/>
              <w:spacing w:after="0" w:line="174" w:lineRule="exact"/>
              <w:rPr>
                <w:sz w:val="20"/>
                <w:szCs w:val="20"/>
                <w:color w:val="auto"/>
              </w:rPr>
            </w:pPr>
            <w:r>
              <w:rPr>
                <w:rFonts w:ascii="Arial" w:cs="Arial" w:eastAsia="Arial" w:hAnsi="Arial"/>
                <w:sz w:val="18"/>
                <w:szCs w:val="18"/>
                <w:color w:val="auto"/>
              </w:rPr>
              <w:t>Bank</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134,949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74" w:lineRule="exact"/>
              <w:rPr>
                <w:sz w:val="20"/>
                <w:szCs w:val="20"/>
                <w:color w:val="auto"/>
              </w:rPr>
            </w:pPr>
            <w:r>
              <w:rPr>
                <w:rFonts w:ascii="Arial" w:cs="Arial" w:eastAsia="Arial" w:hAnsi="Arial"/>
                <w:sz w:val="18"/>
                <w:szCs w:val="18"/>
                <w:color w:val="auto"/>
              </w:rPr>
              <w:t>13.16%</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74" w:lineRule="exact"/>
              <w:rPr>
                <w:sz w:val="20"/>
                <w:szCs w:val="20"/>
                <w:color w:val="auto"/>
              </w:rPr>
            </w:pPr>
            <w:r>
              <w:rPr>
                <w:rFonts w:ascii="Arial" w:cs="Arial" w:eastAsia="Arial" w:hAnsi="Arial"/>
                <w:sz w:val="18"/>
                <w:szCs w:val="18"/>
                <w:color w:val="auto"/>
              </w:rPr>
              <w:t>41,021</w:t>
            </w:r>
          </w:p>
        </w:tc>
        <w:tc>
          <w:tcPr>
            <w:tcW w:w="980" w:type="dxa"/>
            <w:vAlign w:val="bottom"/>
            <w:gridSpan w:val="4"/>
            <w:shd w:val="clear" w:color="auto" w:fill="CCEEFF"/>
          </w:tcPr>
          <w:p>
            <w:pPr>
              <w:jc w:val="right"/>
              <w:ind w:right="60"/>
              <w:spacing w:after="0" w:line="174" w:lineRule="exact"/>
              <w:rPr>
                <w:sz w:val="20"/>
                <w:szCs w:val="20"/>
                <w:color w:val="auto"/>
              </w:rPr>
            </w:pPr>
            <w:r>
              <w:rPr>
                <w:rFonts w:ascii="Arial" w:cs="Arial" w:eastAsia="Arial" w:hAnsi="Arial"/>
                <w:sz w:val="18"/>
                <w:szCs w:val="18"/>
                <w:color w:val="auto"/>
              </w:rPr>
              <w:t>&gt;4.0%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8"/>
                <w:szCs w:val="18"/>
                <w:color w:val="auto"/>
              </w:rPr>
              <w:t>51,276</w:t>
            </w:r>
          </w:p>
        </w:tc>
        <w:tc>
          <w:tcPr>
            <w:tcW w:w="1220" w:type="dxa"/>
            <w:vAlign w:val="bottom"/>
            <w:gridSpan w:val="5"/>
            <w:shd w:val="clear" w:color="auto" w:fill="CCEEFF"/>
          </w:tcPr>
          <w:p>
            <w:pPr>
              <w:jc w:val="right"/>
              <w:ind w:right="200"/>
              <w:spacing w:after="0" w:line="174" w:lineRule="exact"/>
              <w:rPr>
                <w:sz w:val="20"/>
                <w:szCs w:val="20"/>
                <w:color w:val="auto"/>
              </w:rPr>
            </w:pPr>
            <w:r>
              <w:rPr>
                <w:rFonts w:ascii="Arial" w:cs="Arial" w:eastAsia="Arial" w:hAnsi="Arial"/>
                <w:sz w:val="18"/>
                <w:szCs w:val="18"/>
                <w:color w:val="auto"/>
              </w:rPr>
              <w:t>&gt;5.0%</w:t>
            </w:r>
          </w:p>
        </w:tc>
        <w:tc>
          <w:tcPr>
            <w:tcW w:w="1180" w:type="dxa"/>
            <w:vAlign w:val="bottom"/>
            <w:gridSpan w:val="2"/>
            <w:shd w:val="clear" w:color="auto" w:fill="CCEEFF"/>
          </w:tcPr>
          <w:p>
            <w:pPr>
              <w:jc w:val="right"/>
              <w:ind w:right="20"/>
              <w:spacing w:after="0" w:line="174" w:lineRule="exact"/>
              <w:rPr>
                <w:sz w:val="20"/>
                <w:szCs w:val="20"/>
                <w:color w:val="auto"/>
              </w:rPr>
            </w:pPr>
            <w:r>
              <w:rPr>
                <w:rFonts w:ascii="Arial" w:cs="Arial" w:eastAsia="Arial" w:hAnsi="Arial"/>
                <w:sz w:val="18"/>
                <w:szCs w:val="18"/>
                <w:color w:val="auto"/>
              </w:rPr>
              <w:t>4.0%</w:t>
            </w:r>
          </w:p>
        </w:tc>
      </w:tr>
      <w:tr>
        <w:trPr>
          <w:trHeight w:val="214"/>
        </w:trPr>
        <w:tc>
          <w:tcPr>
            <w:tcW w:w="3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9"/>
        </w:trPr>
        <w:tc>
          <w:tcPr>
            <w:tcW w:w="3100" w:type="dxa"/>
            <w:vAlign w:val="bottom"/>
          </w:tcPr>
          <w:p>
            <w:pPr>
              <w:spacing w:after="0" w:line="200" w:lineRule="exact"/>
              <w:rPr>
                <w:sz w:val="20"/>
                <w:szCs w:val="20"/>
                <w:color w:val="auto"/>
              </w:rPr>
            </w:pPr>
            <w:r>
              <w:rPr>
                <w:rFonts w:ascii="Arial" w:cs="Arial" w:eastAsia="Arial" w:hAnsi="Arial"/>
                <w:sz w:val="18"/>
                <w:szCs w:val="18"/>
                <w:color w:val="auto"/>
              </w:rPr>
              <w:t>Common equity tier 1 capital to risk</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7"/>
        </w:trPr>
        <w:tc>
          <w:tcPr>
            <w:tcW w:w="3100" w:type="dxa"/>
            <w:vAlign w:val="bottom"/>
          </w:tcPr>
          <w:p>
            <w:pPr>
              <w:spacing w:after="0"/>
              <w:rPr>
                <w:sz w:val="20"/>
                <w:szCs w:val="20"/>
                <w:color w:val="auto"/>
              </w:rPr>
            </w:pPr>
            <w:r>
              <w:rPr>
                <w:rFonts w:ascii="Arial" w:cs="Arial" w:eastAsia="Arial" w:hAnsi="Arial"/>
                <w:sz w:val="18"/>
                <w:szCs w:val="18"/>
                <w:color w:val="auto"/>
              </w:rPr>
              <w:t>weighted assets: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8"/>
        </w:trPr>
        <w:tc>
          <w:tcPr>
            <w:tcW w:w="3100" w:type="dxa"/>
            <w:vAlign w:val="bottom"/>
            <w:shd w:val="clear" w:color="auto" w:fill="CCEEFF"/>
          </w:tcPr>
          <w:p>
            <w:pPr>
              <w:ind w:left="160"/>
              <w:spacing w:after="0" w:line="188" w:lineRule="exact"/>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126,046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88" w:lineRule="exact"/>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color w:val="auto"/>
              </w:rPr>
              <w:t>31,559</w:t>
            </w:r>
          </w:p>
        </w:tc>
        <w:tc>
          <w:tcPr>
            <w:tcW w:w="4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line="188" w:lineRule="exact"/>
              <w:rPr>
                <w:sz w:val="20"/>
                <w:szCs w:val="20"/>
                <w:color w:val="auto"/>
              </w:rPr>
            </w:pPr>
            <w:r>
              <w:rPr>
                <w:rFonts w:ascii="Arial" w:cs="Arial" w:eastAsia="Arial" w:hAnsi="Arial"/>
                <w:sz w:val="18"/>
                <w:szCs w:val="18"/>
                <w:color w:val="auto"/>
                <w:w w:val="89"/>
              </w:rPr>
              <w:t>&gt;4.5%</w:t>
            </w:r>
          </w:p>
        </w:tc>
        <w:tc>
          <w:tcPr>
            <w:tcW w:w="24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188" w:lineRule="exact"/>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88" w:lineRule="exact"/>
              <w:rPr>
                <w:sz w:val="20"/>
                <w:szCs w:val="20"/>
                <w:color w:val="auto"/>
              </w:rPr>
            </w:pPr>
            <w:r>
              <w:rPr>
                <w:rFonts w:ascii="Arial" w:cs="Arial" w:eastAsia="Arial" w:hAnsi="Arial"/>
                <w:sz w:val="18"/>
                <w:szCs w:val="18"/>
                <w:color w:val="auto"/>
              </w:rPr>
              <w:t>7.0%</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3100" w:type="dxa"/>
            <w:vAlign w:val="bottom"/>
          </w:tcPr>
          <w:p>
            <w:pPr>
              <w:ind w:left="160"/>
              <w:spacing w:after="0" w:line="187" w:lineRule="exact"/>
              <w:rPr>
                <w:sz w:val="20"/>
                <w:szCs w:val="20"/>
                <w:color w:val="auto"/>
              </w:rPr>
            </w:pPr>
            <w:r>
              <w:rPr>
                <w:rFonts w:ascii="Arial" w:cs="Arial" w:eastAsia="Arial" w:hAnsi="Arial"/>
                <w:sz w:val="18"/>
                <w:szCs w:val="18"/>
                <w:color w:val="auto"/>
              </w:rPr>
              <w:t>Bank</w:t>
            </w:r>
          </w:p>
        </w:tc>
        <w:tc>
          <w:tcPr>
            <w:tcW w:w="160" w:type="dxa"/>
            <w:vAlign w:val="bottom"/>
          </w:tcPr>
          <w:p>
            <w:pPr>
              <w:spacing w:after="0"/>
              <w:rPr>
                <w:sz w:val="16"/>
                <w:szCs w:val="16"/>
                <w:color w:val="auto"/>
              </w:rPr>
            </w:pPr>
          </w:p>
        </w:tc>
        <w:tc>
          <w:tcPr>
            <w:tcW w:w="1100" w:type="dxa"/>
            <w:vAlign w:val="bottom"/>
            <w:gridSpan w:val="2"/>
          </w:tcPr>
          <w:p>
            <w:pPr>
              <w:jc w:val="right"/>
              <w:ind w:right="200"/>
              <w:spacing w:after="0" w:line="187" w:lineRule="exact"/>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7" w:lineRule="exact"/>
              <w:rPr>
                <w:sz w:val="20"/>
                <w:szCs w:val="20"/>
                <w:color w:val="auto"/>
              </w:rPr>
            </w:pPr>
            <w:r>
              <w:rPr>
                <w:rFonts w:ascii="Arial" w:cs="Arial" w:eastAsia="Arial" w:hAnsi="Arial"/>
                <w:sz w:val="18"/>
                <w:szCs w:val="18"/>
                <w:color w:val="auto"/>
              </w:rPr>
              <w:t>16.69%</w:t>
            </w:r>
          </w:p>
        </w:tc>
        <w:tc>
          <w:tcPr>
            <w:tcW w:w="160" w:type="dxa"/>
            <w:vAlign w:val="bottom"/>
          </w:tcPr>
          <w:p>
            <w:pPr>
              <w:spacing w:after="0"/>
              <w:rPr>
                <w:sz w:val="16"/>
                <w:szCs w:val="16"/>
                <w:color w:val="auto"/>
              </w:rPr>
            </w:pPr>
          </w:p>
        </w:tc>
        <w:tc>
          <w:tcPr>
            <w:tcW w:w="960" w:type="dxa"/>
            <w:vAlign w:val="bottom"/>
            <w:gridSpan w:val="2"/>
          </w:tcPr>
          <w:p>
            <w:pPr>
              <w:ind w:left="380"/>
              <w:spacing w:after="0" w:line="187" w:lineRule="exact"/>
              <w:rPr>
                <w:sz w:val="20"/>
                <w:szCs w:val="20"/>
                <w:color w:val="auto"/>
              </w:rPr>
            </w:pPr>
            <w:r>
              <w:rPr>
                <w:rFonts w:ascii="Arial" w:cs="Arial" w:eastAsia="Arial" w:hAnsi="Arial"/>
                <w:sz w:val="18"/>
                <w:szCs w:val="18"/>
                <w:color w:val="auto"/>
              </w:rPr>
              <w:t>31,611</w:t>
            </w:r>
          </w:p>
        </w:tc>
        <w:tc>
          <w:tcPr>
            <w:tcW w:w="440" w:type="dxa"/>
            <w:vAlign w:val="bottom"/>
          </w:tcPr>
          <w:p>
            <w:pPr>
              <w:spacing w:after="0"/>
              <w:rPr>
                <w:sz w:val="16"/>
                <w:szCs w:val="16"/>
                <w:color w:val="auto"/>
              </w:rPr>
            </w:pPr>
          </w:p>
        </w:tc>
        <w:tc>
          <w:tcPr>
            <w:tcW w:w="540" w:type="dxa"/>
            <w:vAlign w:val="bottom"/>
            <w:gridSpan w:val="3"/>
          </w:tcPr>
          <w:p>
            <w:pPr>
              <w:jc w:val="right"/>
              <w:ind w:right="60"/>
              <w:spacing w:after="0" w:line="187" w:lineRule="exact"/>
              <w:rPr>
                <w:sz w:val="20"/>
                <w:szCs w:val="20"/>
                <w:color w:val="auto"/>
              </w:rPr>
            </w:pPr>
            <w:r>
              <w:rPr>
                <w:rFonts w:ascii="Arial" w:cs="Arial" w:eastAsia="Arial" w:hAnsi="Arial"/>
                <w:sz w:val="18"/>
                <w:szCs w:val="18"/>
                <w:color w:val="auto"/>
                <w:w w:val="89"/>
              </w:rPr>
              <w:t>&gt;4.5%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line="187" w:lineRule="exact"/>
              <w:rPr>
                <w:sz w:val="20"/>
                <w:szCs w:val="20"/>
                <w:color w:val="auto"/>
              </w:rPr>
            </w:pPr>
            <w:r>
              <w:rPr>
                <w:rFonts w:ascii="Arial" w:cs="Arial" w:eastAsia="Arial" w:hAnsi="Arial"/>
                <w:sz w:val="18"/>
                <w:szCs w:val="18"/>
                <w:color w:val="auto"/>
              </w:rPr>
              <w:t>45,660</w:t>
            </w:r>
          </w:p>
        </w:tc>
        <w:tc>
          <w:tcPr>
            <w:tcW w:w="1220" w:type="dxa"/>
            <w:vAlign w:val="bottom"/>
            <w:gridSpan w:val="5"/>
          </w:tcPr>
          <w:p>
            <w:pPr>
              <w:jc w:val="right"/>
              <w:ind w:right="200"/>
              <w:spacing w:after="0" w:line="187" w:lineRule="exact"/>
              <w:rPr>
                <w:sz w:val="20"/>
                <w:szCs w:val="20"/>
                <w:color w:val="auto"/>
              </w:rPr>
            </w:pPr>
            <w:r>
              <w:rPr>
                <w:rFonts w:ascii="Arial" w:cs="Arial" w:eastAsia="Arial" w:hAnsi="Arial"/>
                <w:sz w:val="18"/>
                <w:szCs w:val="18"/>
                <w:color w:val="auto"/>
              </w:rPr>
              <w:t>&gt;6.5%</w:t>
            </w:r>
          </w:p>
        </w:tc>
        <w:tc>
          <w:tcPr>
            <w:tcW w:w="118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auto"/>
              </w:rPr>
              <w:t>7.0%</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100" w:type="dxa"/>
            <w:vAlign w:val="bottom"/>
            <w:shd w:val="clear" w:color="auto" w:fill="CCEEFF"/>
          </w:tcPr>
          <w:p>
            <w:pPr>
              <w:ind w:left="160"/>
              <w:spacing w:after="0" w:line="187" w:lineRule="exact"/>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142,988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8"/>
                <w:szCs w:val="18"/>
                <w:color w:val="auto"/>
              </w:rPr>
              <w:t>20.39%</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87" w:lineRule="exact"/>
              <w:rPr>
                <w:sz w:val="20"/>
                <w:szCs w:val="20"/>
                <w:color w:val="auto"/>
              </w:rPr>
            </w:pPr>
            <w:r>
              <w:rPr>
                <w:rFonts w:ascii="Arial" w:cs="Arial" w:eastAsia="Arial" w:hAnsi="Arial"/>
                <w:sz w:val="18"/>
                <w:szCs w:val="18"/>
                <w:color w:val="auto"/>
              </w:rPr>
              <w:t>56,105</w:t>
            </w:r>
          </w:p>
        </w:tc>
        <w:tc>
          <w:tcPr>
            <w:tcW w:w="4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8"/>
                <w:szCs w:val="18"/>
                <w:color w:val="auto"/>
                <w:w w:val="89"/>
              </w:rPr>
              <w:t>&gt;8.0%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60"/>
              <w:spacing w:after="0" w:line="187"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auto"/>
              </w:rPr>
              <w:t>10.5%</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3100" w:type="dxa"/>
            <w:vAlign w:val="bottom"/>
          </w:tcPr>
          <w:p>
            <w:pPr>
              <w:ind w:left="160"/>
              <w:spacing w:after="0" w:line="187" w:lineRule="exact"/>
              <w:rPr>
                <w:sz w:val="20"/>
                <w:szCs w:val="20"/>
                <w:color w:val="auto"/>
              </w:rPr>
            </w:pPr>
            <w:r>
              <w:rPr>
                <w:rFonts w:ascii="Arial" w:cs="Arial" w:eastAsia="Arial" w:hAnsi="Arial"/>
                <w:sz w:val="18"/>
                <w:szCs w:val="18"/>
                <w:color w:val="auto"/>
              </w:rPr>
              <w:t>Bank</w:t>
            </w:r>
          </w:p>
        </w:tc>
        <w:tc>
          <w:tcPr>
            <w:tcW w:w="160" w:type="dxa"/>
            <w:vAlign w:val="bottom"/>
          </w:tcPr>
          <w:p>
            <w:pPr>
              <w:spacing w:after="0"/>
              <w:rPr>
                <w:sz w:val="16"/>
                <w:szCs w:val="16"/>
                <w:color w:val="auto"/>
              </w:rPr>
            </w:pPr>
          </w:p>
        </w:tc>
        <w:tc>
          <w:tcPr>
            <w:tcW w:w="1100" w:type="dxa"/>
            <w:vAlign w:val="bottom"/>
            <w:gridSpan w:val="2"/>
          </w:tcPr>
          <w:p>
            <w:pPr>
              <w:jc w:val="right"/>
              <w:ind w:right="200"/>
              <w:spacing w:after="0" w:line="187" w:lineRule="exact"/>
              <w:rPr>
                <w:sz w:val="20"/>
                <w:szCs w:val="20"/>
                <w:color w:val="auto"/>
              </w:rPr>
            </w:pPr>
            <w:r>
              <w:rPr>
                <w:rFonts w:ascii="Arial" w:cs="Arial" w:eastAsia="Arial" w:hAnsi="Arial"/>
                <w:sz w:val="18"/>
                <w:szCs w:val="18"/>
                <w:color w:val="auto"/>
              </w:rPr>
              <w:t>119,971</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7" w:lineRule="exact"/>
              <w:rPr>
                <w:sz w:val="20"/>
                <w:szCs w:val="20"/>
                <w:color w:val="auto"/>
              </w:rPr>
            </w:pPr>
            <w:r>
              <w:rPr>
                <w:rFonts w:ascii="Arial" w:cs="Arial" w:eastAsia="Arial" w:hAnsi="Arial"/>
                <w:sz w:val="18"/>
                <w:szCs w:val="18"/>
                <w:color w:val="auto"/>
              </w:rPr>
              <w:t>17.08%</w:t>
            </w:r>
          </w:p>
        </w:tc>
        <w:tc>
          <w:tcPr>
            <w:tcW w:w="160" w:type="dxa"/>
            <w:vAlign w:val="bottom"/>
          </w:tcPr>
          <w:p>
            <w:pPr>
              <w:spacing w:after="0"/>
              <w:rPr>
                <w:sz w:val="16"/>
                <w:szCs w:val="16"/>
                <w:color w:val="auto"/>
              </w:rPr>
            </w:pPr>
          </w:p>
        </w:tc>
        <w:tc>
          <w:tcPr>
            <w:tcW w:w="960" w:type="dxa"/>
            <w:vAlign w:val="bottom"/>
            <w:gridSpan w:val="2"/>
          </w:tcPr>
          <w:p>
            <w:pPr>
              <w:ind w:left="380"/>
              <w:spacing w:after="0" w:line="187" w:lineRule="exact"/>
              <w:rPr>
                <w:sz w:val="20"/>
                <w:szCs w:val="20"/>
                <w:color w:val="auto"/>
              </w:rPr>
            </w:pPr>
            <w:r>
              <w:rPr>
                <w:rFonts w:ascii="Arial" w:cs="Arial" w:eastAsia="Arial" w:hAnsi="Arial"/>
                <w:sz w:val="18"/>
                <w:szCs w:val="18"/>
                <w:color w:val="auto"/>
              </w:rPr>
              <w:t>56,197</w:t>
            </w:r>
          </w:p>
        </w:tc>
        <w:tc>
          <w:tcPr>
            <w:tcW w:w="440" w:type="dxa"/>
            <w:vAlign w:val="bottom"/>
          </w:tcPr>
          <w:p>
            <w:pPr>
              <w:spacing w:after="0"/>
              <w:rPr>
                <w:sz w:val="16"/>
                <w:szCs w:val="16"/>
                <w:color w:val="auto"/>
              </w:rPr>
            </w:pPr>
          </w:p>
        </w:tc>
        <w:tc>
          <w:tcPr>
            <w:tcW w:w="540" w:type="dxa"/>
            <w:vAlign w:val="bottom"/>
            <w:gridSpan w:val="3"/>
          </w:tcPr>
          <w:p>
            <w:pPr>
              <w:jc w:val="right"/>
              <w:ind w:right="60"/>
              <w:spacing w:after="0" w:line="187" w:lineRule="exact"/>
              <w:rPr>
                <w:sz w:val="20"/>
                <w:szCs w:val="20"/>
                <w:color w:val="auto"/>
              </w:rPr>
            </w:pPr>
            <w:r>
              <w:rPr>
                <w:rFonts w:ascii="Arial" w:cs="Arial" w:eastAsia="Arial" w:hAnsi="Arial"/>
                <w:sz w:val="18"/>
                <w:szCs w:val="18"/>
                <w:color w:val="auto"/>
                <w:w w:val="89"/>
              </w:rPr>
              <w:t>&gt;8.0%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line="187" w:lineRule="exact"/>
              <w:rPr>
                <w:sz w:val="20"/>
                <w:szCs w:val="20"/>
                <w:color w:val="auto"/>
              </w:rPr>
            </w:pPr>
            <w:r>
              <w:rPr>
                <w:rFonts w:ascii="Arial" w:cs="Arial" w:eastAsia="Arial" w:hAnsi="Arial"/>
                <w:sz w:val="18"/>
                <w:szCs w:val="18"/>
                <w:color w:val="auto"/>
              </w:rPr>
              <w:t>70,246</w:t>
            </w:r>
          </w:p>
        </w:tc>
        <w:tc>
          <w:tcPr>
            <w:tcW w:w="1220" w:type="dxa"/>
            <w:vAlign w:val="bottom"/>
            <w:gridSpan w:val="5"/>
          </w:tcPr>
          <w:p>
            <w:pPr>
              <w:jc w:val="right"/>
              <w:ind w:right="200"/>
              <w:spacing w:after="0" w:line="187" w:lineRule="exact"/>
              <w:rPr>
                <w:sz w:val="20"/>
                <w:szCs w:val="20"/>
                <w:color w:val="auto"/>
              </w:rPr>
            </w:pPr>
            <w:r>
              <w:rPr>
                <w:rFonts w:ascii="Arial" w:cs="Arial" w:eastAsia="Arial" w:hAnsi="Arial"/>
                <w:sz w:val="18"/>
                <w:szCs w:val="18"/>
                <w:color w:val="auto"/>
              </w:rPr>
              <w:t>&gt;10.0%</w:t>
            </w:r>
          </w:p>
        </w:tc>
        <w:tc>
          <w:tcPr>
            <w:tcW w:w="118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auto"/>
              </w:rPr>
              <w:t>10.5%</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100" w:type="dxa"/>
            <w:vAlign w:val="bottom"/>
            <w:shd w:val="clear" w:color="auto" w:fill="CCEEFF"/>
          </w:tcPr>
          <w:p>
            <w:pPr>
              <w:ind w:left="160"/>
              <w:spacing w:after="0" w:line="187" w:lineRule="exact"/>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126,046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87" w:lineRule="exact"/>
              <w:rPr>
                <w:sz w:val="20"/>
                <w:szCs w:val="20"/>
                <w:color w:val="auto"/>
              </w:rPr>
            </w:pPr>
            <w:r>
              <w:rPr>
                <w:rFonts w:ascii="Arial" w:cs="Arial" w:eastAsia="Arial" w:hAnsi="Arial"/>
                <w:sz w:val="18"/>
                <w:szCs w:val="18"/>
                <w:color w:val="auto"/>
              </w:rPr>
              <w:t>42,079</w:t>
            </w:r>
          </w:p>
        </w:tc>
        <w:tc>
          <w:tcPr>
            <w:tcW w:w="4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8"/>
                <w:szCs w:val="18"/>
                <w:color w:val="auto"/>
                <w:w w:val="89"/>
              </w:rPr>
              <w:t>&gt;6.0%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60"/>
              <w:spacing w:after="0" w:line="187"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auto"/>
              </w:rPr>
              <w:t>8.5%</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3100" w:type="dxa"/>
            <w:vAlign w:val="bottom"/>
          </w:tcPr>
          <w:p>
            <w:pPr>
              <w:ind w:left="160"/>
              <w:spacing w:after="0" w:line="187" w:lineRule="exact"/>
              <w:rPr>
                <w:sz w:val="20"/>
                <w:szCs w:val="20"/>
                <w:color w:val="auto"/>
              </w:rPr>
            </w:pPr>
            <w:r>
              <w:rPr>
                <w:rFonts w:ascii="Arial" w:cs="Arial" w:eastAsia="Arial" w:hAnsi="Arial"/>
                <w:sz w:val="18"/>
                <w:szCs w:val="18"/>
                <w:color w:val="auto"/>
              </w:rPr>
              <w:t>Bank</w:t>
            </w:r>
          </w:p>
        </w:tc>
        <w:tc>
          <w:tcPr>
            <w:tcW w:w="160" w:type="dxa"/>
            <w:vAlign w:val="bottom"/>
          </w:tcPr>
          <w:p>
            <w:pPr>
              <w:spacing w:after="0"/>
              <w:rPr>
                <w:sz w:val="16"/>
                <w:szCs w:val="16"/>
                <w:color w:val="auto"/>
              </w:rPr>
            </w:pPr>
          </w:p>
        </w:tc>
        <w:tc>
          <w:tcPr>
            <w:tcW w:w="1100" w:type="dxa"/>
            <w:vAlign w:val="bottom"/>
            <w:gridSpan w:val="2"/>
          </w:tcPr>
          <w:p>
            <w:pPr>
              <w:jc w:val="right"/>
              <w:ind w:right="200"/>
              <w:spacing w:after="0" w:line="187" w:lineRule="exact"/>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7" w:lineRule="exact"/>
              <w:rPr>
                <w:sz w:val="20"/>
                <w:szCs w:val="20"/>
                <w:color w:val="auto"/>
              </w:rPr>
            </w:pPr>
            <w:r>
              <w:rPr>
                <w:rFonts w:ascii="Arial" w:cs="Arial" w:eastAsia="Arial" w:hAnsi="Arial"/>
                <w:sz w:val="18"/>
                <w:szCs w:val="18"/>
                <w:color w:val="auto"/>
              </w:rPr>
              <w:t>16.69%</w:t>
            </w:r>
          </w:p>
        </w:tc>
        <w:tc>
          <w:tcPr>
            <w:tcW w:w="160" w:type="dxa"/>
            <w:vAlign w:val="bottom"/>
          </w:tcPr>
          <w:p>
            <w:pPr>
              <w:spacing w:after="0"/>
              <w:rPr>
                <w:sz w:val="16"/>
                <w:szCs w:val="16"/>
                <w:color w:val="auto"/>
              </w:rPr>
            </w:pPr>
          </w:p>
        </w:tc>
        <w:tc>
          <w:tcPr>
            <w:tcW w:w="960" w:type="dxa"/>
            <w:vAlign w:val="bottom"/>
            <w:gridSpan w:val="2"/>
          </w:tcPr>
          <w:p>
            <w:pPr>
              <w:ind w:left="380"/>
              <w:spacing w:after="0" w:line="187" w:lineRule="exact"/>
              <w:rPr>
                <w:sz w:val="20"/>
                <w:szCs w:val="20"/>
                <w:color w:val="auto"/>
              </w:rPr>
            </w:pPr>
            <w:r>
              <w:rPr>
                <w:rFonts w:ascii="Arial" w:cs="Arial" w:eastAsia="Arial" w:hAnsi="Arial"/>
                <w:sz w:val="18"/>
                <w:szCs w:val="18"/>
                <w:color w:val="auto"/>
              </w:rPr>
              <w:t>42,148</w:t>
            </w:r>
          </w:p>
        </w:tc>
        <w:tc>
          <w:tcPr>
            <w:tcW w:w="440" w:type="dxa"/>
            <w:vAlign w:val="bottom"/>
          </w:tcPr>
          <w:p>
            <w:pPr>
              <w:spacing w:after="0"/>
              <w:rPr>
                <w:sz w:val="16"/>
                <w:szCs w:val="16"/>
                <w:color w:val="auto"/>
              </w:rPr>
            </w:pPr>
          </w:p>
        </w:tc>
        <w:tc>
          <w:tcPr>
            <w:tcW w:w="540" w:type="dxa"/>
            <w:vAlign w:val="bottom"/>
            <w:gridSpan w:val="3"/>
          </w:tcPr>
          <w:p>
            <w:pPr>
              <w:jc w:val="right"/>
              <w:ind w:right="60"/>
              <w:spacing w:after="0" w:line="187" w:lineRule="exact"/>
              <w:rPr>
                <w:sz w:val="20"/>
                <w:szCs w:val="20"/>
                <w:color w:val="auto"/>
              </w:rPr>
            </w:pPr>
            <w:r>
              <w:rPr>
                <w:rFonts w:ascii="Arial" w:cs="Arial" w:eastAsia="Arial" w:hAnsi="Arial"/>
                <w:sz w:val="18"/>
                <w:szCs w:val="18"/>
                <w:color w:val="auto"/>
                <w:w w:val="89"/>
              </w:rPr>
              <w:t>&gt;6.0%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line="187" w:lineRule="exact"/>
              <w:rPr>
                <w:sz w:val="20"/>
                <w:szCs w:val="20"/>
                <w:color w:val="auto"/>
              </w:rPr>
            </w:pPr>
            <w:r>
              <w:rPr>
                <w:rFonts w:ascii="Arial" w:cs="Arial" w:eastAsia="Arial" w:hAnsi="Arial"/>
                <w:sz w:val="18"/>
                <w:szCs w:val="18"/>
                <w:color w:val="auto"/>
              </w:rPr>
              <w:t>56,197</w:t>
            </w:r>
          </w:p>
        </w:tc>
        <w:tc>
          <w:tcPr>
            <w:tcW w:w="1220" w:type="dxa"/>
            <w:vAlign w:val="bottom"/>
            <w:gridSpan w:val="5"/>
          </w:tcPr>
          <w:p>
            <w:pPr>
              <w:jc w:val="right"/>
              <w:ind w:right="200"/>
              <w:spacing w:after="0" w:line="187" w:lineRule="exact"/>
              <w:rPr>
                <w:sz w:val="20"/>
                <w:szCs w:val="20"/>
                <w:color w:val="auto"/>
              </w:rPr>
            </w:pPr>
            <w:r>
              <w:rPr>
                <w:rFonts w:ascii="Arial" w:cs="Arial" w:eastAsia="Arial" w:hAnsi="Arial"/>
                <w:sz w:val="18"/>
                <w:szCs w:val="18"/>
                <w:color w:val="auto"/>
              </w:rPr>
              <w:t>&gt;8.0%</w:t>
            </w:r>
          </w:p>
        </w:tc>
        <w:tc>
          <w:tcPr>
            <w:tcW w:w="118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auto"/>
              </w:rPr>
              <w:t>8.5%</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100" w:type="dxa"/>
            <w:vAlign w:val="bottom"/>
            <w:shd w:val="clear" w:color="auto" w:fill="CCEEFF"/>
          </w:tcPr>
          <w:p>
            <w:pPr>
              <w:ind w:left="160"/>
              <w:spacing w:after="0" w:line="187" w:lineRule="exact"/>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126,046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8"/>
                <w:szCs w:val="18"/>
                <w:color w:val="auto"/>
              </w:rPr>
              <w:t>13.27%</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80"/>
              <w:spacing w:after="0" w:line="187" w:lineRule="exact"/>
              <w:rPr>
                <w:sz w:val="20"/>
                <w:szCs w:val="20"/>
                <w:color w:val="auto"/>
              </w:rPr>
            </w:pPr>
            <w:r>
              <w:rPr>
                <w:rFonts w:ascii="Arial" w:cs="Arial" w:eastAsia="Arial" w:hAnsi="Arial"/>
                <w:sz w:val="18"/>
                <w:szCs w:val="18"/>
                <w:color w:val="auto"/>
              </w:rPr>
              <w:t>38,006</w:t>
            </w:r>
          </w:p>
        </w:tc>
        <w:tc>
          <w:tcPr>
            <w:tcW w:w="4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8"/>
                <w:szCs w:val="18"/>
                <w:color w:val="auto"/>
                <w:w w:val="89"/>
              </w:rPr>
              <w:t>&gt;4.0%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60"/>
              <w:spacing w:after="0" w:line="187"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auto"/>
              </w:rPr>
              <w:t>4.0%</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3100" w:type="dxa"/>
            <w:vAlign w:val="bottom"/>
          </w:tcPr>
          <w:p>
            <w:pPr>
              <w:ind w:left="160"/>
              <w:spacing w:after="0" w:line="187" w:lineRule="exact"/>
              <w:rPr>
                <w:sz w:val="20"/>
                <w:szCs w:val="20"/>
                <w:color w:val="auto"/>
              </w:rPr>
            </w:pPr>
            <w:r>
              <w:rPr>
                <w:rFonts w:ascii="Arial" w:cs="Arial" w:eastAsia="Arial" w:hAnsi="Arial"/>
                <w:sz w:val="18"/>
                <w:szCs w:val="18"/>
                <w:color w:val="auto"/>
              </w:rPr>
              <w:t>Bank</w:t>
            </w:r>
          </w:p>
        </w:tc>
        <w:tc>
          <w:tcPr>
            <w:tcW w:w="160" w:type="dxa"/>
            <w:vAlign w:val="bottom"/>
          </w:tcPr>
          <w:p>
            <w:pPr>
              <w:spacing w:after="0"/>
              <w:rPr>
                <w:sz w:val="16"/>
                <w:szCs w:val="16"/>
                <w:color w:val="auto"/>
              </w:rPr>
            </w:pPr>
          </w:p>
        </w:tc>
        <w:tc>
          <w:tcPr>
            <w:tcW w:w="1100" w:type="dxa"/>
            <w:vAlign w:val="bottom"/>
            <w:gridSpan w:val="2"/>
          </w:tcPr>
          <w:p>
            <w:pPr>
              <w:jc w:val="right"/>
              <w:ind w:right="200"/>
              <w:spacing w:after="0" w:line="187" w:lineRule="exact"/>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7" w:lineRule="exact"/>
              <w:rPr>
                <w:sz w:val="20"/>
                <w:szCs w:val="20"/>
                <w:color w:val="auto"/>
              </w:rPr>
            </w:pPr>
            <w:r>
              <w:rPr>
                <w:rFonts w:ascii="Arial" w:cs="Arial" w:eastAsia="Arial" w:hAnsi="Arial"/>
                <w:sz w:val="18"/>
                <w:szCs w:val="18"/>
                <w:color w:val="auto"/>
              </w:rPr>
              <w:t>12.33%</w:t>
            </w:r>
          </w:p>
        </w:tc>
        <w:tc>
          <w:tcPr>
            <w:tcW w:w="160" w:type="dxa"/>
            <w:vAlign w:val="bottom"/>
          </w:tcPr>
          <w:p>
            <w:pPr>
              <w:spacing w:after="0"/>
              <w:rPr>
                <w:sz w:val="16"/>
                <w:szCs w:val="16"/>
                <w:color w:val="auto"/>
              </w:rPr>
            </w:pPr>
          </w:p>
        </w:tc>
        <w:tc>
          <w:tcPr>
            <w:tcW w:w="960" w:type="dxa"/>
            <w:vAlign w:val="bottom"/>
            <w:gridSpan w:val="2"/>
          </w:tcPr>
          <w:p>
            <w:pPr>
              <w:ind w:left="380"/>
              <w:spacing w:after="0" w:line="187" w:lineRule="exact"/>
              <w:rPr>
                <w:sz w:val="20"/>
                <w:szCs w:val="20"/>
                <w:color w:val="auto"/>
              </w:rPr>
            </w:pPr>
            <w:r>
              <w:rPr>
                <w:rFonts w:ascii="Arial" w:cs="Arial" w:eastAsia="Arial" w:hAnsi="Arial"/>
                <w:sz w:val="18"/>
                <w:szCs w:val="18"/>
                <w:color w:val="auto"/>
              </w:rPr>
              <w:t>38,022</w:t>
            </w:r>
          </w:p>
        </w:tc>
        <w:tc>
          <w:tcPr>
            <w:tcW w:w="440" w:type="dxa"/>
            <w:vAlign w:val="bottom"/>
          </w:tcPr>
          <w:p>
            <w:pPr>
              <w:spacing w:after="0"/>
              <w:rPr>
                <w:sz w:val="16"/>
                <w:szCs w:val="16"/>
                <w:color w:val="auto"/>
              </w:rPr>
            </w:pPr>
          </w:p>
        </w:tc>
        <w:tc>
          <w:tcPr>
            <w:tcW w:w="540" w:type="dxa"/>
            <w:vAlign w:val="bottom"/>
            <w:gridSpan w:val="3"/>
          </w:tcPr>
          <w:p>
            <w:pPr>
              <w:jc w:val="right"/>
              <w:ind w:right="60"/>
              <w:spacing w:after="0" w:line="187" w:lineRule="exact"/>
              <w:rPr>
                <w:sz w:val="20"/>
                <w:szCs w:val="20"/>
                <w:color w:val="auto"/>
              </w:rPr>
            </w:pPr>
            <w:r>
              <w:rPr>
                <w:rFonts w:ascii="Arial" w:cs="Arial" w:eastAsia="Arial" w:hAnsi="Arial"/>
                <w:sz w:val="18"/>
                <w:szCs w:val="18"/>
                <w:color w:val="auto"/>
                <w:w w:val="89"/>
              </w:rPr>
              <w:t>&gt;4.0%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line="187" w:lineRule="exact"/>
              <w:rPr>
                <w:sz w:val="20"/>
                <w:szCs w:val="20"/>
                <w:color w:val="auto"/>
              </w:rPr>
            </w:pPr>
            <w:r>
              <w:rPr>
                <w:rFonts w:ascii="Arial" w:cs="Arial" w:eastAsia="Arial" w:hAnsi="Arial"/>
                <w:sz w:val="18"/>
                <w:szCs w:val="18"/>
                <w:color w:val="auto"/>
              </w:rPr>
              <w:t>47,528</w:t>
            </w:r>
          </w:p>
        </w:tc>
        <w:tc>
          <w:tcPr>
            <w:tcW w:w="1220" w:type="dxa"/>
            <w:vAlign w:val="bottom"/>
            <w:gridSpan w:val="5"/>
          </w:tcPr>
          <w:p>
            <w:pPr>
              <w:jc w:val="right"/>
              <w:ind w:right="200"/>
              <w:spacing w:after="0" w:line="187" w:lineRule="exact"/>
              <w:rPr>
                <w:sz w:val="20"/>
                <w:szCs w:val="20"/>
                <w:color w:val="auto"/>
              </w:rPr>
            </w:pPr>
            <w:r>
              <w:rPr>
                <w:rFonts w:ascii="Arial" w:cs="Arial" w:eastAsia="Arial" w:hAnsi="Arial"/>
                <w:sz w:val="18"/>
                <w:szCs w:val="18"/>
                <w:color w:val="auto"/>
              </w:rPr>
              <w:t>&gt;5.0%</w:t>
            </w:r>
          </w:p>
        </w:tc>
        <w:tc>
          <w:tcPr>
            <w:tcW w:w="118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auto"/>
              </w:rPr>
              <w:t>4.0%</w:t>
            </w: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6" w:lineRule="exact"/>
        <w:rPr>
          <w:sz w:val="20"/>
          <w:szCs w:val="20"/>
          <w:color w:val="auto"/>
        </w:rPr>
      </w:pPr>
    </w:p>
    <w:p>
      <w:pPr>
        <w:ind w:left="300" w:hanging="293"/>
        <w:spacing w:after="0" w:line="270"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Required capital ratios with fully phased-in capital conservation buffer added to the minimum risk-based capital ratios. Fully phased-in ratios are effective in 2019, with lower requirements during the transition years 2016 through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On August 22, 2016, the Company purchased 645,238 shares at a price of $10.75 per share.</w:t>
      </w:r>
    </w:p>
    <w:p>
      <w:pPr>
        <w:spacing w:after="0" w:line="2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standby letters of credit, and commitments to fund investments.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ectPr>
          <w:pgSz w:w="11900" w:h="16838" w:orient="portrait"/>
          <w:cols w:equalWidth="0" w:num="1">
            <w:col w:w="11420"/>
          </w:cols>
          <w:pgMar w:left="240" w:top="118" w:right="239" w:bottom="567"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567" w:gutter="0" w:footer="0" w:header="0"/>
          <w:type w:val="continuous"/>
        </w:sectPr>
      </w:pPr>
    </w:p>
    <w:bookmarkStart w:id="43" w:name="page44"/>
    <w:bookmarkEnd w:id="4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Net income increased by $1.7 million to $3.5 million for the quarter ended March 31, 2017, compared to $1.8 million for the quarter ended March 31, 2016.</w:t>
      </w:r>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details the “Total Return” on purchased loans, which includes transactional interest income of $2.3 million for the quarter ended March 31, 2017. The total return on purchased loans for the quarter ended March 31, 2017 was 12.0% as compared to 9.9% in the quarter ended March 31, 2016, primarily due to higher regularly scheduled income and transactional income in the quarter. The following table details the total return on purchased loans for the three and nine months ended March 31, 2017:</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8"/>
                <w:szCs w:val="18"/>
                <w:color w:val="auto"/>
                <w:w w:val="88"/>
              </w:rPr>
              <w:t>Total Return on Purchased Loans</w:t>
            </w: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8"/>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Three Months Ended March 31,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color w:val="auto"/>
              </w:rPr>
              <w:t>Income</w:t>
            </w:r>
          </w:p>
        </w:tc>
        <w:tc>
          <w:tcPr>
            <w:tcW w:w="1100" w:type="dxa"/>
            <w:vAlign w:val="bottom"/>
          </w:tcPr>
          <w:p>
            <w:pPr>
              <w:ind w:left="120"/>
              <w:spacing w:after="0"/>
              <w:rPr>
                <w:sz w:val="20"/>
                <w:szCs w:val="20"/>
                <w:color w:val="auto"/>
              </w:rPr>
            </w:pPr>
            <w:r>
              <w:rPr>
                <w:rFonts w:ascii="Arial" w:cs="Arial" w:eastAsia="Arial" w:hAnsi="Arial"/>
                <w:sz w:val="18"/>
                <w:szCs w:val="18"/>
                <w:color w:val="auto"/>
              </w:rPr>
              <w:t>Return (1)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080" w:type="dxa"/>
            <w:vAlign w:val="bottom"/>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07"/>
        </w:trPr>
        <w:tc>
          <w:tcPr>
            <w:tcW w:w="3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99"/>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r>
      <w:tr>
        <w:trPr>
          <w:trHeight w:val="214"/>
        </w:trPr>
        <w:tc>
          <w:tcPr>
            <w:tcW w:w="392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4"/>
        </w:trPr>
        <w:tc>
          <w:tcPr>
            <w:tcW w:w="392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4"/>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4"/>
        </w:trPr>
        <w:tc>
          <w:tcPr>
            <w:tcW w:w="392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207"/>
        </w:trPr>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r>
      <w:tr>
        <w:trPr>
          <w:trHeight w:val="207"/>
        </w:trPr>
        <w:tc>
          <w:tcPr>
            <w:tcW w:w="392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r>
      <w:tr>
        <w:trPr>
          <w:trHeight w:val="20"/>
        </w:trPr>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7"/>
        </w:trPr>
        <w:tc>
          <w:tcPr>
            <w:tcW w:w="3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8"/>
                <w:szCs w:val="18"/>
                <w:color w:val="auto"/>
                <w:w w:val="91"/>
              </w:rPr>
              <w:t>Nine Months Ended March 31,</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color w:val="auto"/>
              </w:rPr>
              <w:t>Income</w:t>
            </w:r>
          </w:p>
        </w:tc>
        <w:tc>
          <w:tcPr>
            <w:tcW w:w="1100" w:type="dxa"/>
            <w:vAlign w:val="bottom"/>
          </w:tcPr>
          <w:p>
            <w:pPr>
              <w:ind w:left="120"/>
              <w:spacing w:after="0"/>
              <w:rPr>
                <w:sz w:val="20"/>
                <w:szCs w:val="20"/>
                <w:color w:val="auto"/>
              </w:rPr>
            </w:pPr>
            <w:r>
              <w:rPr>
                <w:rFonts w:ascii="Arial" w:cs="Arial" w:eastAsia="Arial" w:hAnsi="Arial"/>
                <w:sz w:val="18"/>
                <w:szCs w:val="18"/>
                <w:color w:val="auto"/>
              </w:rPr>
              <w:t>Return (1)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080" w:type="dxa"/>
            <w:vAlign w:val="bottom"/>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07"/>
        </w:trPr>
        <w:tc>
          <w:tcPr>
            <w:tcW w:w="3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99"/>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12,615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w:t>
            </w:r>
          </w:p>
        </w:tc>
      </w:tr>
      <w:tr>
        <w:trPr>
          <w:trHeight w:val="214"/>
        </w:trPr>
        <w:tc>
          <w:tcPr>
            <w:tcW w:w="392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4"/>
        </w:trPr>
        <w:tc>
          <w:tcPr>
            <w:tcW w:w="392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14"/>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4"/>
        </w:trPr>
        <w:tc>
          <w:tcPr>
            <w:tcW w:w="392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r>
      <w:tr>
        <w:trPr>
          <w:trHeight w:val="207"/>
        </w:trPr>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r>
      <w:tr>
        <w:trPr>
          <w:trHeight w:val="207"/>
        </w:trPr>
        <w:tc>
          <w:tcPr>
            <w:tcW w:w="392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18,381</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11.57%</w:t>
            </w:r>
          </w:p>
        </w:tc>
      </w:tr>
      <w:tr>
        <w:trPr>
          <w:trHeight w:val="20"/>
        </w:trPr>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960" w:hanging="312"/>
        <w:spacing w:after="0" w:line="25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on an annualized basis. The total return does not include the effect of purchased loan charge-offs or recoveries in the quarter. Total return is a non-GAAP financial measure.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22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interest and dividend income before provision for loan losses increased by $3.2 million for the quarter ended March 31, 2017, compared to the quarter ended March 31, 2016. The increase is primarily due to higher transactional income on purchased loans and higher average balances in the total loan portfolio. This increase was partially offset by higher rates and volume in the deposit portfolio and the effect of the issuance of subordinated debt.</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1"/>
              </w:rPr>
              <w:t>Interest Income and Yield on Loans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color w:val="auto"/>
                <w:w w:val="96"/>
              </w:rPr>
              <w:t>Three Months Ended March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4"/>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4"/>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500"/>
              <w:spacing w:after="0" w:line="193"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3"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00"/>
              <w:spacing w:after="0" w:line="193"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3"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400" w:type="dxa"/>
            <w:vAlign w:val="bottom"/>
            <w:gridSpan w:val="2"/>
          </w:tcPr>
          <w:p>
            <w:pPr>
              <w:jc w:val="right"/>
              <w:ind w:right="531"/>
              <w:spacing w:after="0"/>
              <w:rPr>
                <w:sz w:val="20"/>
                <w:szCs w:val="20"/>
                <w:color w:val="auto"/>
              </w:rPr>
            </w:pPr>
            <w:r>
              <w:rPr>
                <w:rFonts w:ascii="Arial" w:cs="Arial" w:eastAsia="Arial" w:hAnsi="Arial"/>
                <w:sz w:val="18"/>
                <w:szCs w:val="18"/>
                <w:color w:val="auto"/>
              </w:rPr>
              <w:t>Yield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Balance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gridSpan w:val="2"/>
          </w:tcPr>
          <w:p>
            <w:pPr>
              <w:spacing w:after="0"/>
              <w:rPr>
                <w:sz w:val="20"/>
                <w:szCs w:val="20"/>
                <w:color w:val="auto"/>
              </w:rPr>
            </w:pPr>
            <w:r>
              <w:rPr>
                <w:rFonts w:ascii="Arial" w:cs="Arial" w:eastAsia="Arial" w:hAnsi="Arial"/>
                <w:sz w:val="18"/>
                <w:szCs w:val="18"/>
                <w:color w:val="auto"/>
              </w:rPr>
              <w:t>in</w:t>
            </w: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44,538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4,075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159,976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199"/>
        </w:trPr>
        <w:tc>
          <w:tcPr>
            <w:tcW w:w="2440" w:type="dxa"/>
            <w:vAlign w:val="bottom"/>
          </w:tcPr>
          <w:p>
            <w:pPr>
              <w:ind w:left="160"/>
              <w:spacing w:after="0" w:line="200"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27,933</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78</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60,001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75</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5"/>
        </w:trPr>
        <w:tc>
          <w:tcPr>
            <w:tcW w:w="2440" w:type="dxa"/>
            <w:vAlign w:val="bottom"/>
          </w:tcPr>
          <w:p>
            <w:pPr>
              <w:ind w:left="16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529,846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7"/>
        </w:trPr>
        <w:tc>
          <w:tcPr>
            <w:tcW w:w="244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763,132</w:t>
            </w:r>
          </w:p>
        </w:tc>
        <w:tc>
          <w:tcPr>
            <w:tcW w:w="22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14,417</w:t>
            </w:r>
          </w:p>
        </w:tc>
        <w:tc>
          <w:tcPr>
            <w:tcW w:w="1400" w:type="dxa"/>
            <w:vAlign w:val="bottom"/>
            <w:gridSpan w:val="2"/>
          </w:tcPr>
          <w:p>
            <w:pPr>
              <w:jc w:val="right"/>
              <w:spacing w:after="0" w:line="207" w:lineRule="exact"/>
              <w:rPr>
                <w:sz w:val="20"/>
                <w:szCs w:val="20"/>
                <w:color w:val="auto"/>
              </w:rPr>
            </w:pPr>
            <w:r>
              <w:rPr>
                <w:rFonts w:ascii="Arial" w:cs="Arial" w:eastAsia="Arial" w:hAnsi="Arial"/>
                <w:sz w:val="14"/>
                <w:szCs w:val="14"/>
                <w:color w:val="auto"/>
              </w:rPr>
              <w:t>7.66</w:t>
            </w:r>
            <w:r>
              <w:rPr>
                <w:rFonts w:ascii="Arial" w:cs="Arial" w:eastAsia="Arial" w:hAnsi="Arial"/>
                <w:sz w:val="24"/>
                <w:szCs w:val="24"/>
                <w:color w:val="auto"/>
                <w:vertAlign w:val="superscript"/>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691,881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10,904</w:t>
            </w:r>
          </w:p>
        </w:tc>
        <w:tc>
          <w:tcPr>
            <w:tcW w:w="1340" w:type="dxa"/>
            <w:vAlign w:val="bottom"/>
            <w:gridSpan w:val="2"/>
          </w:tcPr>
          <w:p>
            <w:pPr>
              <w:jc w:val="right"/>
              <w:spacing w:after="0" w:line="207" w:lineRule="exact"/>
              <w:rPr>
                <w:sz w:val="20"/>
                <w:szCs w:val="20"/>
                <w:color w:val="auto"/>
              </w:rPr>
            </w:pPr>
            <w:r>
              <w:rPr>
                <w:rFonts w:ascii="Arial" w:cs="Arial" w:eastAsia="Arial" w:hAnsi="Arial"/>
                <w:sz w:val="14"/>
                <w:szCs w:val="14"/>
                <w:color w:val="auto"/>
              </w:rPr>
              <w:t>6.34</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1700" w:hanging="891"/>
        <w:spacing w:after="0"/>
        <w:tabs>
          <w:tab w:leader="none" w:pos="17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Includes loans held for sale.</w:t>
      </w:r>
    </w:p>
    <w:p>
      <w:pPr>
        <w:sectPr>
          <w:pgSz w:w="11900" w:h="16838" w:orient="portrait"/>
          <w:cols w:equalWidth="0" w:num="1">
            <w:col w:w="11380"/>
          </w:cols>
          <w:pgMar w:left="240" w:top="118" w:right="279"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9480" cy="36195"/>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type w:val="continuous"/>
        </w:sectPr>
      </w:pPr>
    </w:p>
    <w:bookmarkStart w:id="44" w:name="page45"/>
    <w:bookmarkEnd w:id="4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The Company’s interest rate spread increased by 83 basis points and net interest margin increased by 85 basis points for the quarter ended March 31, 2017 compared to the quarter ended March 31, 2016. The increase was principally due to higher transactional interest income in the purchased portfolio and higher average balances in the loan portfolio, offset by the effect of the issuance of the subordinated debt in June 2016.</w:t>
      </w:r>
    </w:p>
    <w:p>
      <w:pPr>
        <w:spacing w:after="0" w:line="169"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March 31,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w w:val="92"/>
              </w:rPr>
              <w:t>Three Months Ended March 31,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8"/>
        </w:trPr>
        <w:tc>
          <w:tcPr>
            <w:tcW w:w="3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3" w:lineRule="exact"/>
              <w:rPr>
                <w:sz w:val="20"/>
                <w:szCs w:val="20"/>
                <w:color w:val="auto"/>
              </w:rPr>
            </w:pPr>
            <w:r>
              <w:rPr>
                <w:rFonts w:ascii="Arial" w:cs="Arial" w:eastAsia="Arial" w:hAnsi="Arial"/>
                <w:sz w:val="18"/>
                <w:szCs w:val="18"/>
                <w:color w:val="auto"/>
                <w:w w:val="89"/>
              </w:rPr>
              <w:t>Interest</w:t>
            </w:r>
          </w:p>
        </w:tc>
        <w:tc>
          <w:tcPr>
            <w:tcW w:w="1120" w:type="dxa"/>
            <w:vAlign w:val="bottom"/>
          </w:tcPr>
          <w:p>
            <w:pPr>
              <w:jc w:val="center"/>
              <w:spacing w:after="0" w:line="193"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3" w:lineRule="exact"/>
              <w:rPr>
                <w:sz w:val="20"/>
                <w:szCs w:val="20"/>
                <w:color w:val="auto"/>
              </w:rPr>
            </w:pPr>
            <w:r>
              <w:rPr>
                <w:rFonts w:ascii="Arial" w:cs="Arial" w:eastAsia="Arial" w:hAnsi="Arial"/>
                <w:sz w:val="18"/>
                <w:szCs w:val="18"/>
                <w:color w:val="auto"/>
                <w:w w:val="86"/>
              </w:rPr>
              <w:t>Interest</w:t>
            </w:r>
          </w:p>
        </w:tc>
        <w:tc>
          <w:tcPr>
            <w:tcW w:w="1120" w:type="dxa"/>
            <w:vAlign w:val="bottom"/>
          </w:tcPr>
          <w:p>
            <w:pPr>
              <w:jc w:val="center"/>
              <w:spacing w:after="0" w:line="193"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r>
      <w:tr>
        <w:trPr>
          <w:trHeight w:val="214"/>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Average</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Income/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Income/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Yield/</w:t>
            </w:r>
          </w:p>
        </w:tc>
      </w:tr>
      <w:tr>
        <w:trPr>
          <w:trHeight w:val="227"/>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Expense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Rate</w:t>
            </w: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14,435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691,881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10,922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128,082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r>
      <w:tr>
        <w:trPr>
          <w:trHeight w:val="20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990,020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876,145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31,606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1,024,501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914,031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69,773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65,985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36,940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357,857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774,817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684,130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20,021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23,506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0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819,305</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726,340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07"/>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Demand deposits and escrow accounts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81,901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907,865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799,153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116,636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1,024,501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914,031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3340" w:type="dxa"/>
            <w:vAlign w:val="bottom"/>
          </w:tcPr>
          <w:p>
            <w:pPr>
              <w:ind w:left="160"/>
              <w:spacing w:after="0"/>
              <w:rPr>
                <w:sz w:val="20"/>
                <w:szCs w:val="20"/>
                <w:color w:val="auto"/>
              </w:rPr>
            </w:pPr>
            <w:r>
              <w:rPr>
                <w:rFonts w:ascii="Arial" w:cs="Arial" w:eastAsia="Arial" w:hAnsi="Arial"/>
                <w:sz w:val="18"/>
                <w:szCs w:val="18"/>
                <w:color w:val="auto"/>
              </w:rPr>
              <w:t>Net interest income (5)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12,477</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9,272</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Interest rate spread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r>
    </w:tbl>
    <w:p>
      <w:pPr>
        <w:spacing w:after="0" w:line="253" w:lineRule="exact"/>
        <w:rPr>
          <w:sz w:val="20"/>
          <w:szCs w:val="20"/>
          <w:color w:val="auto"/>
        </w:rPr>
      </w:pPr>
    </w:p>
    <w:p>
      <w:pPr>
        <w:ind w:left="300" w:hanging="293"/>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19" w:lineRule="exact"/>
        <w:rPr>
          <w:rFonts w:ascii="Arial" w:cs="Arial" w:eastAsia="Arial" w:hAnsi="Arial"/>
          <w:sz w:val="18"/>
          <w:szCs w:val="18"/>
          <w:color w:val="auto"/>
        </w:rPr>
      </w:pPr>
    </w:p>
    <w:p>
      <w:pPr>
        <w:ind w:left="300" w:hanging="293"/>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6" w:lineRule="exact"/>
        <w:rPr>
          <w:rFonts w:ascii="Arial" w:cs="Arial" w:eastAsia="Arial" w:hAnsi="Arial"/>
          <w:sz w:val="18"/>
          <w:szCs w:val="18"/>
          <w:color w:val="auto"/>
        </w:rPr>
      </w:pPr>
    </w:p>
    <w:p>
      <w:pPr>
        <w:ind w:left="300" w:hanging="293"/>
        <w:spacing w:after="0"/>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29" w:lineRule="exact"/>
        <w:rPr>
          <w:rFonts w:ascii="Arial" w:cs="Arial" w:eastAsia="Arial" w:hAnsi="Arial"/>
          <w:sz w:val="16"/>
          <w:szCs w:val="16"/>
          <w:color w:val="auto"/>
        </w:rPr>
      </w:pPr>
    </w:p>
    <w:p>
      <w:pPr>
        <w:ind w:left="300" w:hanging="293"/>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tax exempt interest income of $18 thousand for the three months ended March 31, 2017 and March 31, 2016.</w:t>
      </w:r>
    </w:p>
    <w:p>
      <w:pPr>
        <w:spacing w:after="0" w:line="6" w:lineRule="exact"/>
        <w:rPr>
          <w:rFonts w:ascii="Arial" w:cs="Arial" w:eastAsia="Arial" w:hAnsi="Arial"/>
          <w:sz w:val="18"/>
          <w:szCs w:val="18"/>
          <w:color w:val="auto"/>
        </w:rPr>
      </w:pPr>
    </w:p>
    <w:p>
      <w:pPr>
        <w:ind w:left="300" w:hanging="293"/>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00" w:type="dxa"/>
            <w:vAlign w:val="bottom"/>
            <w:gridSpan w:val="8"/>
          </w:tcPr>
          <w:p>
            <w:pPr>
              <w:jc w:val="center"/>
              <w:ind w:right="540"/>
              <w:spacing w:after="0"/>
              <w:rPr>
                <w:sz w:val="20"/>
                <w:szCs w:val="20"/>
                <w:color w:val="auto"/>
              </w:rPr>
            </w:pPr>
            <w:r>
              <w:rPr>
                <w:rFonts w:ascii="Arial" w:cs="Arial" w:eastAsia="Arial" w:hAnsi="Arial"/>
                <w:sz w:val="18"/>
                <w:szCs w:val="18"/>
                <w:color w:val="auto"/>
                <w:w w:val="89"/>
              </w:rPr>
              <w:t>Three Months Ended March 31, 2017 compared to 2016</w:t>
            </w:r>
          </w:p>
        </w:tc>
      </w:tr>
      <w:tr>
        <w:trPr>
          <w:trHeight w:val="209"/>
        </w:trPr>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89"/>
              </w:rPr>
              <w:t>Change Due to Volume</w:t>
            </w: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7"/>
              </w:rPr>
              <w:t>Change Due to Rate</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Total Change</w:t>
            </w:r>
          </w:p>
        </w:tc>
        <w:tc>
          <w:tcPr>
            <w:tcW w:w="100" w:type="dxa"/>
            <w:vAlign w:val="bottom"/>
          </w:tcPr>
          <w:p>
            <w:pPr>
              <w:spacing w:after="0"/>
              <w:rPr>
                <w:sz w:val="18"/>
                <w:szCs w:val="18"/>
                <w:color w:val="auto"/>
              </w:rPr>
            </w:pPr>
          </w:p>
        </w:tc>
      </w:tr>
      <w:tr>
        <w:trPr>
          <w:trHeight w:val="207"/>
        </w:trPr>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30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2,351</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4"/>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368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2,482</w:t>
            </w:r>
          </w:p>
        </w:tc>
        <w:tc>
          <w:tcPr>
            <w:tcW w:w="2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r>
      <w:tr>
        <w:trPr>
          <w:trHeight w:val="214"/>
        </w:trPr>
        <w:tc>
          <w:tcPr>
            <w:tcW w:w="3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6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7"/>
        </w:trPr>
        <w:tc>
          <w:tcPr>
            <w:tcW w:w="36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interest-bearing liabilities</w:t>
            </w: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top w:val="single" w:sz="8" w:color="CCEEFF"/>
            </w:tcBorders>
          </w:tcPr>
          <w:p>
            <w:pPr>
              <w:spacing w:after="0"/>
              <w:rPr>
                <w:sz w:val="18"/>
                <w:szCs w:val="18"/>
                <w:color w:val="auto"/>
              </w:rPr>
            </w:pPr>
          </w:p>
        </w:tc>
      </w:tr>
      <w:tr>
        <w:trPr>
          <w:trHeight w:val="247"/>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change in net interest income</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2017 and 2016</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interest and dividend income before provision for the nine months ended March 31, 2017 and 2016 was $34.1 million and $28.7 million, respectively. The increase of $5.4 million was largely attributable to higher loan volume and interest income in the originated loan portfolio, as well as higher transactional income in the purchased portfolio. The following table summarizes interest income and related yields recognized on the Company’s loans for the nine months ended March 31, 2017 and 2016.</w:t>
      </w:r>
    </w:p>
    <w:p>
      <w:pPr>
        <w:spacing w:after="0" w:line="200" w:lineRule="exact"/>
        <w:rPr>
          <w:sz w:val="20"/>
          <w:szCs w:val="20"/>
          <w:color w:val="auto"/>
        </w:rPr>
      </w:pP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1"/>
              </w:rPr>
              <w:t>Interest Income and Yield on Loans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color w:val="auto"/>
                <w:w w:val="98"/>
              </w:rPr>
              <w:t>Nine Months Ended March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4"/>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3"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3"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00"/>
              <w:spacing w:after="0" w:line="193"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3"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Balance (1)</w:t>
            </w: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400" w:type="dxa"/>
            <w:vAlign w:val="bottom"/>
            <w:gridSpan w:val="2"/>
          </w:tcPr>
          <w:p>
            <w:pPr>
              <w:jc w:val="right"/>
              <w:ind w:right="531"/>
              <w:spacing w:after="0"/>
              <w:rPr>
                <w:sz w:val="20"/>
                <w:szCs w:val="20"/>
                <w:color w:val="auto"/>
              </w:rPr>
            </w:pPr>
            <w:r>
              <w:rPr>
                <w:rFonts w:ascii="Arial" w:cs="Arial" w:eastAsia="Arial" w:hAnsi="Arial"/>
                <w:sz w:val="18"/>
                <w:szCs w:val="18"/>
                <w:color w:val="auto"/>
              </w:rPr>
              <w:t>Yield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Balance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gridSpan w:val="2"/>
          </w:tcPr>
          <w:p>
            <w:pPr>
              <w:spacing w:after="0"/>
              <w:rPr>
                <w:sz w:val="20"/>
                <w:szCs w:val="20"/>
                <w:color w:val="auto"/>
              </w:rPr>
            </w:pPr>
            <w:r>
              <w:rPr>
                <w:rFonts w:ascii="Arial" w:cs="Arial" w:eastAsia="Arial" w:hAnsi="Arial"/>
                <w:sz w:val="18"/>
                <w:szCs w:val="18"/>
                <w:color w:val="auto"/>
              </w:rPr>
              <w:t>in</w:t>
            </w: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4"/>
        </w:trPr>
        <w:tc>
          <w:tcPr>
            <w:tcW w:w="244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38,867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138,760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5,991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99"/>
        </w:trPr>
        <w:tc>
          <w:tcPr>
            <w:tcW w:w="2440" w:type="dxa"/>
            <w:vAlign w:val="bottom"/>
          </w:tcPr>
          <w:p>
            <w:pPr>
              <w:ind w:left="160"/>
              <w:spacing w:after="0" w:line="200"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41,409</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256</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60,004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225</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5"/>
        </w:trPr>
        <w:tc>
          <w:tcPr>
            <w:tcW w:w="2440" w:type="dxa"/>
            <w:vAlign w:val="bottom"/>
          </w:tcPr>
          <w:p>
            <w:pPr>
              <w:ind w:left="16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497,371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31,211</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7"/>
        </w:trPr>
        <w:tc>
          <w:tcPr>
            <w:tcW w:w="244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735,804</w:t>
            </w:r>
          </w:p>
        </w:tc>
        <w:tc>
          <w:tcPr>
            <w:tcW w:w="20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40,132</w:t>
            </w:r>
          </w:p>
        </w:tc>
        <w:tc>
          <w:tcPr>
            <w:tcW w:w="1400" w:type="dxa"/>
            <w:vAlign w:val="bottom"/>
            <w:gridSpan w:val="2"/>
          </w:tcPr>
          <w:p>
            <w:pPr>
              <w:jc w:val="right"/>
              <w:spacing w:after="0" w:line="207" w:lineRule="exact"/>
              <w:rPr>
                <w:sz w:val="20"/>
                <w:szCs w:val="20"/>
                <w:color w:val="auto"/>
              </w:rPr>
            </w:pPr>
            <w:r>
              <w:rPr>
                <w:rFonts w:ascii="Arial" w:cs="Arial" w:eastAsia="Arial" w:hAnsi="Arial"/>
                <w:sz w:val="14"/>
                <w:szCs w:val="14"/>
                <w:color w:val="auto"/>
              </w:rPr>
              <w:t>7.27</w:t>
            </w:r>
            <w:r>
              <w:rPr>
                <w:rFonts w:ascii="Arial" w:cs="Arial" w:eastAsia="Arial" w:hAnsi="Arial"/>
                <w:sz w:val="24"/>
                <w:szCs w:val="24"/>
                <w:color w:val="auto"/>
                <w:vertAlign w:val="superscript"/>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652,455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33,413</w:t>
            </w:r>
          </w:p>
        </w:tc>
        <w:tc>
          <w:tcPr>
            <w:tcW w:w="1340" w:type="dxa"/>
            <w:vAlign w:val="bottom"/>
            <w:gridSpan w:val="2"/>
          </w:tcPr>
          <w:p>
            <w:pPr>
              <w:jc w:val="right"/>
              <w:spacing w:after="0" w:line="207" w:lineRule="exact"/>
              <w:rPr>
                <w:sz w:val="20"/>
                <w:szCs w:val="20"/>
                <w:color w:val="auto"/>
              </w:rPr>
            </w:pPr>
            <w:r>
              <w:rPr>
                <w:rFonts w:ascii="Arial" w:cs="Arial" w:eastAsia="Arial" w:hAnsi="Arial"/>
                <w:sz w:val="14"/>
                <w:szCs w:val="14"/>
                <w:color w:val="auto"/>
              </w:rPr>
              <w:t>6.82</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1280" w:hanging="471"/>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6" w:name="page47"/>
    <w:bookmarkEnd w:id="4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interest rate spread and net interest margin increased by 15 basis points and 17 basis points, respectively, for the nine months ended March 31, 2017 compared to the nine months ended March 31, 2016. The increase was principally due to higher transactional interest income in the purchased portfolio and higher average balances in the loan portfolio, offset by the effect of the issuance of the subordinated debt in June 2016. The following sets forth the average balance sheets, interest income and interest expense, and average yields and costs for the nine months ended March 31, 2017 and 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color w:val="auto"/>
                <w:w w:val="94"/>
              </w:rPr>
              <w:t>Nine Months Ended March 31,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8"/>
        </w:trPr>
        <w:tc>
          <w:tcPr>
            <w:tcW w:w="3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3" w:lineRule="exact"/>
              <w:rPr>
                <w:sz w:val="20"/>
                <w:szCs w:val="20"/>
                <w:color w:val="auto"/>
              </w:rPr>
            </w:pPr>
            <w:r>
              <w:rPr>
                <w:rFonts w:ascii="Arial" w:cs="Arial" w:eastAsia="Arial" w:hAnsi="Arial"/>
                <w:sz w:val="18"/>
                <w:szCs w:val="18"/>
                <w:color w:val="auto"/>
                <w:w w:val="89"/>
              </w:rPr>
              <w:t>Interest</w:t>
            </w:r>
          </w:p>
        </w:tc>
        <w:tc>
          <w:tcPr>
            <w:tcW w:w="1120" w:type="dxa"/>
            <w:vAlign w:val="bottom"/>
          </w:tcPr>
          <w:p>
            <w:pPr>
              <w:jc w:val="center"/>
              <w:spacing w:after="0" w:line="193"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3" w:lineRule="exact"/>
              <w:rPr>
                <w:sz w:val="20"/>
                <w:szCs w:val="20"/>
                <w:color w:val="auto"/>
              </w:rPr>
            </w:pPr>
            <w:r>
              <w:rPr>
                <w:rFonts w:ascii="Arial" w:cs="Arial" w:eastAsia="Arial" w:hAnsi="Arial"/>
                <w:sz w:val="18"/>
                <w:szCs w:val="18"/>
                <w:color w:val="auto"/>
                <w:w w:val="86"/>
              </w:rPr>
              <w:t>Interest</w:t>
            </w:r>
          </w:p>
        </w:tc>
        <w:tc>
          <w:tcPr>
            <w:tcW w:w="1120" w:type="dxa"/>
            <w:vAlign w:val="bottom"/>
          </w:tcPr>
          <w:p>
            <w:pPr>
              <w:jc w:val="center"/>
              <w:spacing w:after="0" w:line="193"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r>
      <w:tr>
        <w:trPr>
          <w:trHeight w:val="214"/>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Average</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Income/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Income/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Yield/</w:t>
            </w:r>
          </w:p>
        </w:tc>
      </w:tr>
      <w:tr>
        <w:trPr>
          <w:trHeight w:val="227"/>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Expense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Rate</w:t>
            </w: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102,890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735,804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40,185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652,455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33,467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84,258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r>
      <w:tr>
        <w:trPr>
          <w:trHeight w:val="20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965,158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41,602</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842,692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34,462</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32,554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1,000,572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881,442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70,814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67,078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197,962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35,964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748,701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5,407</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648,914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25,768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r>
      <w:tr>
        <w:trPr>
          <w:trHeight w:val="214"/>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23,431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r>
      <w:tr>
        <w:trPr>
          <w:trHeight w:val="214"/>
        </w:trPr>
        <w:tc>
          <w:tcPr>
            <w:tcW w:w="33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r>
      <w:tr>
        <w:trPr>
          <w:trHeight w:val="20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798,924</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694,120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07"/>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Demand deposits and escrow accounts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79,352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886,014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767,459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114,558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1,000,572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881,442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3340" w:type="dxa"/>
            <w:vAlign w:val="bottom"/>
          </w:tcPr>
          <w:p>
            <w:pPr>
              <w:ind w:left="160"/>
              <w:spacing w:after="0"/>
              <w:rPr>
                <w:sz w:val="20"/>
                <w:szCs w:val="20"/>
                <w:color w:val="auto"/>
              </w:rPr>
            </w:pPr>
            <w:r>
              <w:rPr>
                <w:rFonts w:ascii="Arial" w:cs="Arial" w:eastAsia="Arial" w:hAnsi="Arial"/>
                <w:sz w:val="18"/>
                <w:szCs w:val="18"/>
                <w:color w:val="auto"/>
              </w:rPr>
              <w:t>Net interest income (5)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28,723</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8"/>
                <w:szCs w:val="18"/>
                <w:color w:val="auto"/>
              </w:rPr>
              <w:t>Interest rate spread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r>
    </w:tbl>
    <w:p>
      <w:pPr>
        <w:spacing w:after="0" w:line="253" w:lineRule="exact"/>
        <w:rPr>
          <w:sz w:val="20"/>
          <w:szCs w:val="20"/>
          <w:color w:val="auto"/>
        </w:rPr>
      </w:pPr>
    </w:p>
    <w:p>
      <w:pPr>
        <w:ind w:left="260" w:hanging="253"/>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Nonaccrual loans are included in the computation of average, but unpaid interest has not been included for purposes of determining interest income.</w:t>
      </w:r>
    </w:p>
    <w:p>
      <w:pPr>
        <w:spacing w:after="0" w:line="18" w:lineRule="exact"/>
        <w:rPr>
          <w:rFonts w:ascii="Arial" w:cs="Arial" w:eastAsia="Arial" w:hAnsi="Arial"/>
          <w:sz w:val="17"/>
          <w:szCs w:val="17"/>
          <w:color w:val="auto"/>
        </w:rPr>
      </w:pPr>
    </w:p>
    <w:p>
      <w:pPr>
        <w:ind w:left="260" w:hanging="253"/>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tax exempt interest income of $53 thousand and $54 thousand for the nine months ended March 31, 2017 and March 31, 2016, respectively.</w:t>
      </w:r>
    </w:p>
    <w:p>
      <w:pPr>
        <w:spacing w:after="0" w:line="29" w:lineRule="exact"/>
        <w:rPr>
          <w:rFonts w:ascii="Arial" w:cs="Arial" w:eastAsia="Arial" w:hAnsi="Arial"/>
          <w:sz w:val="16"/>
          <w:szCs w:val="16"/>
          <w:color w:val="auto"/>
        </w:rPr>
      </w:pPr>
    </w:p>
    <w:p>
      <w:pPr>
        <w:ind w:left="260" w:hanging="253"/>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80" w:type="dxa"/>
            <w:vAlign w:val="bottom"/>
            <w:gridSpan w:val="8"/>
          </w:tcPr>
          <w:p>
            <w:pPr>
              <w:jc w:val="center"/>
              <w:ind w:right="580"/>
              <w:spacing w:after="0"/>
              <w:rPr>
                <w:sz w:val="20"/>
                <w:szCs w:val="20"/>
                <w:color w:val="auto"/>
              </w:rPr>
            </w:pPr>
            <w:r>
              <w:rPr>
                <w:rFonts w:ascii="Arial" w:cs="Arial" w:eastAsia="Arial" w:hAnsi="Arial"/>
                <w:sz w:val="18"/>
                <w:szCs w:val="18"/>
                <w:color w:val="auto"/>
                <w:w w:val="89"/>
              </w:rPr>
              <w:t>Nine Months Ended March 31, 2017 compared to 2016</w:t>
            </w:r>
          </w:p>
        </w:tc>
      </w:tr>
      <w:tr>
        <w:trPr>
          <w:trHeight w:val="209"/>
        </w:trPr>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89"/>
              </w:rPr>
              <w:t>Change Due to Volume</w:t>
            </w: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7"/>
              </w:rPr>
              <w:t>Change Due to Rate</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Total Change</w:t>
            </w:r>
          </w:p>
        </w:tc>
        <w:tc>
          <w:tcPr>
            <w:tcW w:w="100" w:type="dxa"/>
            <w:vAlign w:val="bottom"/>
          </w:tcPr>
          <w:p>
            <w:pPr>
              <w:spacing w:after="0"/>
              <w:rPr>
                <w:sz w:val="18"/>
                <w:szCs w:val="18"/>
                <w:color w:val="auto"/>
              </w:rPr>
            </w:pPr>
          </w:p>
        </w:tc>
      </w:tr>
      <w:tr>
        <w:trPr>
          <w:trHeight w:val="207"/>
        </w:trPr>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2,281</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w:t>
            </w: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4"/>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8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368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2,630</w:t>
            </w:r>
          </w:p>
        </w:tc>
        <w:tc>
          <w:tcPr>
            <w:tcW w:w="2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7,140</w:t>
            </w:r>
          </w:p>
        </w:tc>
      </w:tr>
      <w:tr>
        <w:trPr>
          <w:trHeight w:val="214"/>
        </w:trPr>
        <w:tc>
          <w:tcPr>
            <w:tcW w:w="3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6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14"/>
        </w:trPr>
        <w:tc>
          <w:tcPr>
            <w:tcW w:w="368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r>
      <w:tr>
        <w:trPr>
          <w:trHeight w:val="214"/>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7"/>
        </w:trPr>
        <w:tc>
          <w:tcPr>
            <w:tcW w:w="36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interest-bearing liabilities</w:t>
            </w:r>
          </w:p>
        </w:tc>
        <w:tc>
          <w:tcPr>
            <w:tcW w:w="8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top w:val="single" w:sz="8" w:color="CCEEFF"/>
            </w:tcBorders>
          </w:tcPr>
          <w:p>
            <w:pPr>
              <w:spacing w:after="0"/>
              <w:rPr>
                <w:sz w:val="18"/>
                <w:szCs w:val="18"/>
                <w:color w:val="auto"/>
              </w:rPr>
            </w:pPr>
          </w:p>
        </w:tc>
      </w:tr>
      <w:tr>
        <w:trPr>
          <w:trHeight w:val="247"/>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change in net interest income</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2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provision for loan losses for the quarter ended March 31, 2017 and 2016 was $384 thousand and $236 thousand, respectively. The increase in the Company’s loan loss provision was primarily the result of loan volume in the LASG originated portfolio, the effect of changes in the qualitative factors, and updates to the specific reserve on impaired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2017 and 2016</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loan losses for the nine months ended March 31, 2017 and 2016 was $1.2 million and $1.3 million, respectively. The decrease in the Company’s loan loss provision was primarily due to two loans which were provided for in the quarter ended December 31, 2015, offset by higher loan volume in the LASG originated portfolio, the effect of changes in the qualitative factors, and updates to the specific reserve on impaired loans in the nine months ended March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221"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Noninterest income increased by $273 thousand for the quarter ended March 31, 2017, compared to the quarter ended March 31, 2016, principally due to the following:</w:t>
      </w:r>
    </w:p>
    <w:p>
      <w:pPr>
        <w:spacing w:after="0" w:line="176" w:lineRule="exact"/>
        <w:rPr>
          <w:sz w:val="20"/>
          <w:szCs w:val="20"/>
          <w:color w:val="auto"/>
        </w:rPr>
      </w:pPr>
    </w:p>
    <w:p>
      <w:pPr>
        <w:ind w:left="640" w:hanging="312"/>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increase in gain on sale of other loans of $365 thousand, due to the sale of a Community Banking Division commercial loan portfolio;</w:t>
      </w:r>
    </w:p>
    <w:p>
      <w:pPr>
        <w:spacing w:after="0" w:line="31" w:lineRule="exact"/>
        <w:rPr>
          <w:rFonts w:ascii="Arial" w:cs="Arial" w:eastAsia="Arial" w:hAnsi="Arial"/>
          <w:sz w:val="17"/>
          <w:szCs w:val="17"/>
          <w:color w:val="auto"/>
        </w:rPr>
      </w:pPr>
    </w:p>
    <w:p>
      <w:pPr>
        <w:ind w:left="640" w:hanging="31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fees for other services to customers of $88 thousand, due to an increase in SBA loan servicing fees; and</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48" w:name="page49"/>
    <w:bookmarkEnd w:id="4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640" w:right="320" w:hanging="312"/>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gain recognized on real estate owned and other repossessed collateral, net, of $74 thousand, due to the sale of Community Banking Division real estate owned (“REO”).</w:t>
      </w:r>
    </w:p>
    <w:p>
      <w:pPr>
        <w:ind w:left="640" w:right="120" w:hanging="312"/>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increases in noninterest income were partially offset by a decrease in gain on sale of SBA loans of $254 thousand, due to a lower volume sold in the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2017 and 2016</w:t>
      </w:r>
    </w:p>
    <w:p>
      <w:pPr>
        <w:spacing w:after="0" w:line="22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Noninterest income increased by $1.4 million for the nine months ended March 31, 2017, compared to the nine months ended March 31, 2016, principally due to the following:</w:t>
      </w:r>
    </w:p>
    <w:p>
      <w:pPr>
        <w:spacing w:after="0" w:line="176" w:lineRule="exact"/>
        <w:rPr>
          <w:sz w:val="20"/>
          <w:szCs w:val="20"/>
          <w:color w:val="auto"/>
        </w:rPr>
      </w:pPr>
    </w:p>
    <w:p>
      <w:pPr>
        <w:ind w:left="640" w:hanging="312"/>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increase in gain on sale of other loans of $365 thousand, due to the sale of a Community Banking Division commercial loan portfolio.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22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Noninterest expense increased by $430 thousand for the quarter ended March 31, 2017, compared to the quarter ended March 31, 2016, primarily due to the following:</w:t>
      </w:r>
    </w:p>
    <w:p>
      <w:pPr>
        <w:spacing w:after="0" w:line="176" w:lineRule="exact"/>
        <w:rPr>
          <w:sz w:val="20"/>
          <w:szCs w:val="20"/>
          <w:color w:val="auto"/>
        </w:rPr>
      </w:pPr>
    </w:p>
    <w:p>
      <w:pPr>
        <w:ind w:left="640" w:right="300" w:hanging="312"/>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loan expense of $431 thousand, largely driven by the expense related to increased loan acquisition and refinance activity, as well as increased REO activity and expense in the period; and</w:t>
      </w:r>
    </w:p>
    <w:p>
      <w:pPr>
        <w:ind w:left="640" w:right="80" w:hanging="312"/>
        <w:spacing w:after="0" w:line="24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salaries and employee benefits of $357 thousand, primarily due to severance expense of $304 thousand recognized in the three months ended March 31, 2017.</w:t>
      </w:r>
    </w:p>
    <w:p>
      <w:pPr>
        <w:spacing w:after="0" w:line="1" w:lineRule="exact"/>
        <w:rPr>
          <w:rFonts w:ascii="Arial" w:cs="Arial" w:eastAsia="Arial" w:hAnsi="Arial"/>
          <w:sz w:val="18"/>
          <w:szCs w:val="18"/>
          <w:color w:val="auto"/>
        </w:rPr>
      </w:pPr>
    </w:p>
    <w:p>
      <w:pPr>
        <w:ind w:left="640" w:right="180" w:hanging="312"/>
        <w:spacing w:after="0" w:line="251"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increases in noninterest expense were partially offset by a decrease in other noninterest expense of $390 thousand, primarily resulting from a mortgage insurance recovery from a legacy mortgage insurance premium plan of $167 thousand and a decrease in impairment on servicing assets as no impairment was booked in the three months ended March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2017 and 2016</w:t>
      </w:r>
    </w:p>
    <w:p>
      <w:pPr>
        <w:spacing w:after="0" w:line="221"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Noninterest expense increased by $2.0 million for the nine months ended March 31, 2017, compared to the nine months ended March 31, 2016, principally due to the following:</w:t>
      </w:r>
    </w:p>
    <w:p>
      <w:pPr>
        <w:spacing w:after="0" w:line="176" w:lineRule="exact"/>
        <w:rPr>
          <w:sz w:val="20"/>
          <w:szCs w:val="20"/>
          <w:color w:val="auto"/>
        </w:rPr>
      </w:pPr>
    </w:p>
    <w:p>
      <w:pPr>
        <w:ind w:left="640" w:hanging="31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salaries and employee benefits of $1.7 million, primarily due to increased incentive compensation and severance;</w:t>
      </w:r>
    </w:p>
    <w:p>
      <w:pPr>
        <w:spacing w:after="0" w:line="19" w:lineRule="exact"/>
        <w:rPr>
          <w:rFonts w:ascii="Arial" w:cs="Arial" w:eastAsia="Arial" w:hAnsi="Arial"/>
          <w:sz w:val="18"/>
          <w:szCs w:val="18"/>
          <w:color w:val="auto"/>
        </w:rPr>
      </w:pPr>
    </w:p>
    <w:p>
      <w:pPr>
        <w:jc w:val="both"/>
        <w:ind w:left="640" w:right="20" w:hanging="312"/>
        <w:spacing w:after="0" w:line="318"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 increase in professional fees of $223 thousand, largely attributable to increased audit costs relating to the Company’s transition to accelerated filer status, increased compensation and cyber security consulting costs, increased loan review service costs and costs associated with core system projects;</w:t>
      </w:r>
    </w:p>
    <w:p>
      <w:pPr>
        <w:spacing w:after="0" w:line="1" w:lineRule="exact"/>
        <w:rPr>
          <w:rFonts w:ascii="Arial" w:cs="Arial" w:eastAsia="Arial" w:hAnsi="Arial"/>
          <w:sz w:val="14"/>
          <w:szCs w:val="14"/>
          <w:color w:val="auto"/>
        </w:rPr>
      </w:pPr>
    </w:p>
    <w:p>
      <w:pPr>
        <w:ind w:left="640" w:hanging="31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loan expense of $541 thousand, largely driven by the expense related to loan collection in the period;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data processing fees of $177 thousand, primarily due to an increase in computer services fees.</w:t>
      </w:r>
    </w:p>
    <w:p>
      <w:pPr>
        <w:spacing w:after="0" w:line="6" w:lineRule="exact"/>
        <w:rPr>
          <w:rFonts w:ascii="Arial" w:cs="Arial" w:eastAsia="Arial" w:hAnsi="Arial"/>
          <w:sz w:val="18"/>
          <w:szCs w:val="18"/>
          <w:color w:val="auto"/>
        </w:rPr>
      </w:pPr>
    </w:p>
    <w:p>
      <w:pPr>
        <w:ind w:left="640" w:right="380" w:hanging="312"/>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increases in noninterest expense were partially offset by a decrease in other noninterest expense of $396 thousand, primarily resulting from a mortgage insurance recovery from a legacy mortgage insurance premium plan of $167 thousand.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income tax expense was $2.1 million or an effective rate of 37.5%, for the three months ended March 31, 2017, as compared to $832 thousand, or an effective rate of 31.5%, for the three months ended March 31, 2016. The increase in effective tax rate was primarily due to an increase in federal taxes as a result of a higher income level and state apportionment changes.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2017 and 2016</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income tax expense was $4.9 million or an effective rate of 37.2%, for the nine months ended March 31, 2017, as compared to $2.9 million, or an effective rate of 34.8%, for the nine months ended March 31, 2016. The increase in effective tax rate was primarily due to an increase in federal taxes as a result of a higher income level and state apportionment changes.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9" w:name="page50"/>
    <w:bookmarkEnd w:id="4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Asset/Liability Management</w:t>
      </w:r>
    </w:p>
    <w:p>
      <w:pPr>
        <w:spacing w:after="0" w:line="2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9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w:t>
      </w:r>
    </w:p>
    <w:p>
      <w:pPr>
        <w:spacing w:after="0" w:line="17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Interest Rate Risk</w:t>
      </w:r>
    </w:p>
    <w:p>
      <w:pPr>
        <w:spacing w:after="0" w:line="2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can be subject to margin compression depending on the economic environment and the shape of the yield curve. Under the Company's current balance sheet position, the Company's margin generally performs slightly better over time in a rising rate environment, while it generally decreases in a declining rate environment and when the yield curve is flattening or inverted.</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a flattening yield curve scenario, margin compression occurs as the spread between the cost of funding and the yield on interest earning assets narrows. Under this scenario the degree of margin compression is highly dependent on the Company's ability to fund asset growth through lower cost deposits. However, if the curve is flattening, while short-term rates are rising, the adverse impact on margin may be somewhat delayed, as increases in the Prime Rate will initially result in the Company's asset yields re-pricing more quickly than funding costs.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50" w:name="page51"/>
    <w:bookmarkEnd w:id="5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Under an inverted yield curve situation, shorter-term rates exceed longer-term rates, and the impact on margin is similar but more adverse than the flat curve scenario. Again, however, the extent of the impact on margin is highly dependent on the Company's balance sheet mix.</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 declining rate environment, margin compression will eventually occur as the yield on interest earning assets decreases more rapidly than decreases in funding costs. The primary causes would be the impact of interest rate decreases (including decreases in the Prime Rate) on adjustable rate loans and the fact that decreases in deposit rates may be limited or lag decreases in the Prime Rate.</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There have been no material changes in the results of the Company's net interest income sensitivity analysis as reported in the Company's 2016 Annual Report on Form 10-K. At March 31, 2017, management continues to consider the Company's primary interest rate risk exposure to be margin compression that may result from changes in interest rates and/or changes in the mix of the Company's balance sheet components. This would include the mix of fixed versus variable rate loans and investments on the asset side, and higher cost versus lower cost deposits and overnight borrowings versus term borrowings and certificates of deposit on the liability side.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5"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2017.</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March 31, 2017 that have materially affected, or is reasonably likely to materially affect, the Company’s internal controls over financial reporting.</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 – OTHER INFORMATION</w:t>
      </w:r>
    </w:p>
    <w:p>
      <w:pPr>
        <w:spacing w:after="0" w:line="2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7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have been no material changes to the risk factors disclosed in Item 1A of the Company’s Form 10-K for the year ended March 31, 2017.</w:t>
      </w: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78" w:lineRule="exact"/>
        <w:rPr>
          <w:sz w:val="20"/>
          <w:szCs w:val="20"/>
          <w:color w:val="auto"/>
        </w:rPr>
      </w:pPr>
    </w:p>
    <w:p>
      <w:pPr>
        <w:ind w:left="800" w:right="520"/>
        <w:spacing w:after="0" w:line="270" w:lineRule="auto"/>
        <w:rPr>
          <w:sz w:val="20"/>
          <w:szCs w:val="20"/>
          <w:color w:val="auto"/>
        </w:rPr>
      </w:pPr>
      <w:r>
        <w:rPr>
          <w:rFonts w:ascii="Arial" w:cs="Arial" w:eastAsia="Arial" w:hAnsi="Arial"/>
          <w:sz w:val="18"/>
          <w:szCs w:val="18"/>
          <w:color w:val="auto"/>
        </w:rPr>
        <w:t>The following table sets forth information with respect to purchases made by the Company of its common stock during the three months ended March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4"/>
        </w:trPr>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Purchased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4"/>
        </w:trPr>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Part of Publicly</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4"/>
        </w:trPr>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2040" w:type="dxa"/>
            <w:vAlign w:val="bottom"/>
          </w:tcPr>
          <w:p>
            <w:pPr>
              <w:jc w:val="right"/>
              <w:ind w:right="251"/>
              <w:spacing w:after="0"/>
              <w:rPr>
                <w:sz w:val="20"/>
                <w:szCs w:val="20"/>
                <w:color w:val="auto"/>
              </w:rPr>
            </w:pPr>
            <w:r>
              <w:rPr>
                <w:rFonts w:ascii="Arial" w:cs="Arial" w:eastAsia="Arial" w:hAnsi="Arial"/>
                <w:sz w:val="18"/>
                <w:szCs w:val="18"/>
                <w:b w:val="1"/>
                <w:bCs w:val="1"/>
                <w:color w:val="auto"/>
              </w:rPr>
              <w:t>Average Price Per</w:t>
            </w: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w:t>
            </w:r>
          </w:p>
        </w:tc>
      </w:tr>
      <w:tr>
        <w:trPr>
          <w:trHeight w:val="231"/>
        </w:trPr>
        <w:tc>
          <w:tcPr>
            <w:tcW w:w="80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Purchased (1)</w:t>
            </w:r>
          </w:p>
        </w:tc>
        <w:tc>
          <w:tcPr>
            <w:tcW w:w="2040" w:type="dxa"/>
            <w:vAlign w:val="bottom"/>
          </w:tcPr>
          <w:p>
            <w:pPr>
              <w:jc w:val="right"/>
              <w:ind w:right="731"/>
              <w:spacing w:after="0"/>
              <w:rPr>
                <w:sz w:val="20"/>
                <w:szCs w:val="20"/>
                <w:color w:val="auto"/>
              </w:rPr>
            </w:pPr>
            <w:r>
              <w:rPr>
                <w:rFonts w:ascii="Arial" w:cs="Arial" w:eastAsia="Arial" w:hAnsi="Arial"/>
                <w:sz w:val="18"/>
                <w:szCs w:val="18"/>
                <w:b w:val="1"/>
                <w:bCs w:val="1"/>
                <w:color w:val="auto"/>
              </w:rPr>
              <w:t>share</w:t>
            </w:r>
          </w:p>
        </w:tc>
        <w:tc>
          <w:tcPr>
            <w:tcW w:w="220" w:type="dxa"/>
            <w:vAlign w:val="bottom"/>
          </w:tcPr>
          <w:p>
            <w:pPr>
              <w:spacing w:after="0"/>
              <w:rPr>
                <w:sz w:val="20"/>
                <w:szCs w:val="20"/>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the Program</w:t>
            </w:r>
          </w:p>
        </w:tc>
      </w:tr>
      <w:tr>
        <w:trPr>
          <w:trHeight w:val="209"/>
        </w:trPr>
        <w:tc>
          <w:tcPr>
            <w:tcW w:w="80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1 - Jan. 31</w:t>
            </w:r>
          </w:p>
        </w:tc>
        <w:tc>
          <w:tcPr>
            <w:tcW w:w="1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22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4"/>
        </w:trPr>
        <w:tc>
          <w:tcPr>
            <w:tcW w:w="8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Feb. 1 - Feb. 28</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2480" w:type="dxa"/>
            <w:vAlign w:val="bottom"/>
            <w:gridSpan w:val="3"/>
          </w:tcPr>
          <w:p>
            <w:pPr>
              <w:jc w:val="right"/>
              <w:ind w:right="220"/>
              <w:spacing w:after="0"/>
              <w:rPr>
                <w:sz w:val="20"/>
                <w:szCs w:val="20"/>
                <w:color w:val="auto"/>
              </w:rPr>
            </w:pPr>
            <w:r>
              <w:rPr>
                <w:rFonts w:ascii="Arial" w:cs="Arial" w:eastAsia="Arial" w:hAnsi="Arial"/>
                <w:sz w:val="18"/>
                <w:szCs w:val="18"/>
                <w:color w:val="auto"/>
              </w:rPr>
              <w:t>1,970,000</w:t>
            </w:r>
          </w:p>
        </w:tc>
        <w:tc>
          <w:tcPr>
            <w:tcW w:w="20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4"/>
        </w:trPr>
        <w:tc>
          <w:tcPr>
            <w:tcW w:w="80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1 - Mar. 31</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1,970,000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480"/>
        </w:trPr>
        <w:tc>
          <w:tcPr>
            <w:tcW w:w="800" w:type="dxa"/>
            <w:vAlign w:val="bottom"/>
          </w:tcPr>
          <w:p>
            <w:pPr>
              <w:spacing w:after="0"/>
              <w:rPr>
                <w:sz w:val="24"/>
                <w:szCs w:val="24"/>
                <w:color w:val="auto"/>
              </w:rPr>
            </w:pPr>
          </w:p>
        </w:tc>
        <w:tc>
          <w:tcPr>
            <w:tcW w:w="4180" w:type="dxa"/>
            <w:vAlign w:val="bottom"/>
            <w:gridSpan w:val="4"/>
          </w:tcPr>
          <w:p>
            <w:pPr>
              <w:ind w:left="320"/>
              <w:spacing w:after="0"/>
              <w:rPr>
                <w:sz w:val="20"/>
                <w:szCs w:val="20"/>
                <w:color w:val="auto"/>
              </w:rPr>
            </w:pPr>
            <w:r>
              <w:rPr>
                <w:rFonts w:ascii="Arial" w:cs="Arial" w:eastAsia="Arial" w:hAnsi="Arial"/>
                <w:sz w:val="18"/>
                <w:szCs w:val="18"/>
                <w:color w:val="auto"/>
              </w:rPr>
              <w:t>(1) Based on trade date, not settlement date</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180" w:type="dxa"/>
            <w:vAlign w:val="bottom"/>
            <w:gridSpan w:val="4"/>
          </w:tcPr>
          <w:p>
            <w:pPr>
              <w:spacing w:after="0"/>
              <w:rPr>
                <w:sz w:val="20"/>
                <w:szCs w:val="20"/>
                <w:color w:val="auto"/>
              </w:rPr>
            </w:pPr>
            <w:r>
              <w:rPr>
                <w:rFonts w:ascii="Arial" w:cs="Arial" w:eastAsia="Arial" w:hAnsi="Arial"/>
                <w:sz w:val="18"/>
                <w:szCs w:val="18"/>
                <w:b w:val="1"/>
                <w:bCs w:val="1"/>
                <w:color w:val="auto"/>
              </w:rPr>
              <w:t>Defaults Upon Senior Securities</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w w:val="88"/>
              </w:rPr>
              <w:t>Mine Safety Disclosures</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Other Information</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1"/>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0" w:lineRule="exact"/>
        <w:rPr>
          <w:sz w:val="20"/>
          <w:szCs w:val="20"/>
          <w:color w:val="auto"/>
        </w:rPr>
      </w:pPr>
    </w:p>
    <w:p>
      <w:pPr>
        <w:spacing w:after="0" w:line="30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Exhibits No.</w:t>
            </w:r>
          </w:p>
        </w:tc>
        <w:tc>
          <w:tcPr>
            <w:tcW w:w="97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220"/>
        </w:trPr>
        <w:tc>
          <w:tcPr>
            <w:tcW w:w="8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r>
      <w:tr>
        <w:trPr>
          <w:trHeight w:val="214"/>
        </w:trPr>
        <w:tc>
          <w:tcPr>
            <w:tcW w:w="8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r>
      <w:tr>
        <w:trPr>
          <w:trHeight w:val="214"/>
        </w:trPr>
        <w:tc>
          <w:tcPr>
            <w:tcW w:w="8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Certificate of the Chief Executive Officer Pursuant to 18 U.S.C. Section 1350, as adopted pursuant to Section 906 of the Sarbanes-Oxley</w:t>
            </w:r>
          </w:p>
        </w:tc>
      </w:tr>
      <w:tr>
        <w:trPr>
          <w:trHeight w:val="214"/>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Act of 2002 (Rule 13a-14(b)). **</w:t>
            </w:r>
          </w:p>
        </w:tc>
      </w:tr>
      <w:tr>
        <w:trPr>
          <w:trHeight w:val="214"/>
        </w:trPr>
        <w:tc>
          <w:tcPr>
            <w:tcW w:w="8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Certificate of the Chief Financial Officer Pursuant to 18 U.S.C. Section 1350, as adopted pursuant to Section 906 of the Sarbanes-Oxley</w:t>
            </w:r>
          </w:p>
        </w:tc>
      </w:tr>
      <w:tr>
        <w:trPr>
          <w:trHeight w:val="227"/>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Act of 2002 (Rule 13a-14(b)). **</w:t>
            </w:r>
          </w:p>
        </w:tc>
      </w:tr>
    </w:tbl>
    <w:p>
      <w:pPr>
        <w:ind w:left="1620" w:right="180" w:hanging="885"/>
        <w:spacing w:after="0" w:line="267" w:lineRule="auto"/>
        <w:tabs>
          <w:tab w:leader="none" w:pos="16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March 31, 2017 formatted in XBRL: (i) Consolidated Balance Sheets at March 31, 2017 and June 30, 2016; (ii) Consolidated Statements of Income for the three and nine months ended March 31, 2017 and 2016; (iii) Consolidated Statements of Comprehensive Income for the three and nine months ended March 31, 2017 and 2016; (iv) Consolidated Statements of Changes in Shareholders’ Equity for the nine months ended March 31, 2017 and 2016; (v) Consolidated Statements of Cash Flows for the nine months ended March 31, 2017 and 2016; and (v) Notes to Unaudited Consolidated Financial Statements. *</w:t>
      </w:r>
    </w:p>
    <w:p>
      <w:pPr>
        <w:spacing w:after="0" w:line="17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19" w:lineRule="exact"/>
        <w:rPr>
          <w:rFonts w:ascii="Arial" w:cs="Arial" w:eastAsia="Arial" w:hAnsi="Arial"/>
          <w:sz w:val="17"/>
          <w:szCs w:val="17"/>
          <w:color w:val="auto"/>
        </w:rPr>
      </w:pPr>
    </w:p>
    <w:p>
      <w:pPr>
        <w:ind w:left="220" w:hanging="213"/>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520"/>
          </w:cols>
          <w:pgMar w:left="240" w:top="118" w:right="1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2694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type w:val="continuous"/>
        </w:sectPr>
      </w:pPr>
    </w:p>
    <w:bookmarkStart w:id="52" w:name="page53"/>
    <w:bookmarkEnd w:id="5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7"/>
          <w:szCs w:val="17"/>
          <w:b w:val="1"/>
          <w:bCs w:val="1"/>
          <w:color w:val="auto"/>
        </w:rPr>
        <w:t>NORTHEAST BANCORP</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Richard Wayne</w:t>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Wayne</w:t>
      </w:r>
    </w:p>
    <w:p>
      <w:pPr>
        <w:spacing w:after="0" w:line="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Brian Shaughnessy</w:t>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Shaughnessy</w:t>
      </w:r>
    </w:p>
    <w:p>
      <w:pPr>
        <w:spacing w:after="0" w:line="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53" w:name="page54"/>
    <w:bookmarkEnd w:id="5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20" w:type="dxa"/>
            <w:vAlign w:val="bottom"/>
          </w:tcPr>
          <w:p>
            <w:pPr>
              <w:jc w:val="center"/>
              <w:ind w:right="2271"/>
              <w:spacing w:after="0"/>
              <w:rPr>
                <w:sz w:val="20"/>
                <w:szCs w:val="20"/>
                <w:color w:val="auto"/>
              </w:rPr>
            </w:pPr>
            <w:r>
              <w:rPr>
                <w:rFonts w:ascii="Arial" w:cs="Arial" w:eastAsia="Arial" w:hAnsi="Arial"/>
                <w:sz w:val="18"/>
                <w:szCs w:val="18"/>
                <w:b w:val="1"/>
                <w:bCs w:val="1"/>
                <w:color w:val="auto"/>
                <w:w w:val="98"/>
              </w:rPr>
              <w:t>NORTHEAST BANCORP</w:t>
            </w:r>
          </w:p>
        </w:tc>
      </w:tr>
      <w:tr>
        <w:trPr>
          <w:trHeight w:val="231"/>
        </w:trPr>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920" w:type="dxa"/>
            <w:vAlign w:val="bottom"/>
          </w:tcPr>
          <w:p>
            <w:pPr>
              <w:jc w:val="center"/>
              <w:ind w:right="2291"/>
              <w:spacing w:after="0"/>
              <w:rPr>
                <w:sz w:val="20"/>
                <w:szCs w:val="20"/>
                <w:color w:val="auto"/>
              </w:rPr>
            </w:pPr>
            <w:r>
              <w:rPr>
                <w:rFonts w:ascii="Arial" w:cs="Arial" w:eastAsia="Arial" w:hAnsi="Arial"/>
                <w:sz w:val="18"/>
                <w:szCs w:val="18"/>
                <w:b w:val="1"/>
                <w:bCs w:val="1"/>
                <w:color w:val="auto"/>
                <w:w w:val="90"/>
              </w:rPr>
              <w:t>Index to Exhibits</w:t>
            </w:r>
          </w:p>
        </w:tc>
      </w:tr>
      <w:tr>
        <w:trPr>
          <w:trHeight w:val="443"/>
        </w:trPr>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Exhibits No.</w:t>
            </w:r>
          </w:p>
        </w:tc>
        <w:tc>
          <w:tcPr>
            <w:tcW w:w="97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220"/>
        </w:trPr>
        <w:tc>
          <w:tcPr>
            <w:tcW w:w="8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r>
      <w:tr>
        <w:trPr>
          <w:trHeight w:val="214"/>
        </w:trPr>
        <w:tc>
          <w:tcPr>
            <w:tcW w:w="8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r>
      <w:tr>
        <w:trPr>
          <w:trHeight w:val="214"/>
        </w:trPr>
        <w:tc>
          <w:tcPr>
            <w:tcW w:w="8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Certificate of the Chief Executive Officer pursuant to 18 U.S.C. Section 1350, as adopted pursuant to Section 906 of the Sarbanes-Oxley</w:t>
            </w:r>
          </w:p>
        </w:tc>
      </w:tr>
      <w:tr>
        <w:trPr>
          <w:trHeight w:val="214"/>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Act of 2002 (Rule 13a-14(b)). **</w:t>
            </w:r>
          </w:p>
        </w:tc>
      </w:tr>
      <w:tr>
        <w:trPr>
          <w:trHeight w:val="214"/>
        </w:trPr>
        <w:tc>
          <w:tcPr>
            <w:tcW w:w="8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Certificate of the Chief Financial Officer pursuant to 18 U.S.C. Section 1350, as adopted pursuant to Section 906 of the Sarbanes-Oxley</w:t>
            </w:r>
          </w:p>
        </w:tc>
      </w:tr>
      <w:tr>
        <w:trPr>
          <w:trHeight w:val="227"/>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Act of 2002 (Rule 13a-14(b)). **</w:t>
            </w:r>
          </w:p>
        </w:tc>
      </w:tr>
    </w:tbl>
    <w:p>
      <w:pPr>
        <w:ind w:left="1620" w:right="20" w:hanging="885"/>
        <w:spacing w:after="0" w:line="267" w:lineRule="auto"/>
        <w:tabs>
          <w:tab w:leader="none" w:pos="1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March 31, 2017 formatted in XBRL: (i) Consolidated Balance Sheets at March 31, 2017 and June 30, 2016; (ii) Consolidated Statements of Income for the three and nine months ended March 31, 2017 and 2016; (iii) Consolidated Statements of Comprehensive Income for the three and nine months ended March 31, 2017 and 2016; (iv) Consolidated Statements of Changes in Shareholders’ Equity for the nine months ended March 31, 2017 and 2016; (v) Consolidated Statements of Cash Flows for the nine months ended March 31, 2017 and 2016; and (v) Notes to Unaudited Consolidated Financial Statements. *</w:t>
      </w:r>
    </w:p>
    <w:p>
      <w:pPr>
        <w:spacing w:after="0" w:line="17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19" w:lineRule="exact"/>
        <w:rPr>
          <w:rFonts w:ascii="Arial" w:cs="Arial" w:eastAsia="Arial" w:hAnsi="Arial"/>
          <w:sz w:val="17"/>
          <w:szCs w:val="17"/>
          <w:color w:val="auto"/>
        </w:rPr>
      </w:pPr>
    </w:p>
    <w:p>
      <w:pPr>
        <w:ind w:left="220" w:hanging="213"/>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360"/>
          </w:cols>
          <w:pgMar w:left="240" w:top="118" w:right="299" w:bottom="1440" w:gutter="0" w:footer="0" w:header="0"/>
        </w:sectPr>
      </w:pPr>
    </w:p>
    <w:bookmarkStart w:id="54" w:name="page55"/>
    <w:bookmarkEnd w:id="54"/>
    <w:p>
      <w:pPr>
        <w:ind w:left="60"/>
        <w:spacing w:after="0"/>
        <w:tabs>
          <w:tab w:leader="none" w:pos="158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1" w:lineRule="exact"/>
        <w:rPr>
          <w:sz w:val="20"/>
          <w:szCs w:val="20"/>
          <w:color w:val="auto"/>
        </w:rPr>
      </w:pPr>
    </w:p>
    <w:p>
      <w:pPr>
        <w:ind w:left="360" w:hanging="246"/>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0" w:lineRule="exact"/>
        <w:rPr>
          <w:rFonts w:ascii="Arial" w:cs="Arial" w:eastAsia="Arial" w:hAnsi="Arial"/>
          <w:sz w:val="18"/>
          <w:szCs w:val="18"/>
          <w:color w:val="auto"/>
        </w:rPr>
      </w:pPr>
    </w:p>
    <w:p>
      <w:pPr>
        <w:ind w:left="360" w:right="200" w:hanging="246"/>
        <w:spacing w:after="0" w:line="334"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60" w:hanging="246"/>
        <w:spacing w:after="0" w:line="270"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360" w:right="160" w:hanging="246"/>
        <w:spacing w:after="0" w:line="259"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360" w:right="80" w:hanging="6"/>
        <w:spacing w:after="0" w:line="259" w:lineRule="auto"/>
        <w:tabs>
          <w:tab w:leader="none" w:pos="64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jc w:val="both"/>
        <w:ind w:left="360" w:hanging="6"/>
        <w:spacing w:after="0" w:line="259" w:lineRule="auto"/>
        <w:tabs>
          <w:tab w:leader="none" w:pos="6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360" w:right="20" w:hanging="6"/>
        <w:spacing w:after="0" w:line="300" w:lineRule="auto"/>
        <w:tabs>
          <w:tab w:leader="none" w:pos="647"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7"/>
          <w:szCs w:val="17"/>
          <w:color w:val="auto"/>
        </w:rPr>
      </w:pPr>
    </w:p>
    <w:p>
      <w:pPr>
        <w:ind w:left="360" w:right="260" w:hanging="6"/>
        <w:spacing w:after="0" w:line="259" w:lineRule="auto"/>
        <w:tabs>
          <w:tab w:leader="none" w:pos="65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360" w:right="600" w:hanging="246"/>
        <w:spacing w:after="0" w:line="300"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360" w:right="140" w:hanging="6"/>
        <w:spacing w:after="0" w:line="270" w:lineRule="auto"/>
        <w:tabs>
          <w:tab w:leader="none" w:pos="6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360" w:right="200" w:hanging="6"/>
        <w:spacing w:after="0" w:line="270" w:lineRule="auto"/>
        <w:tabs>
          <w:tab w:leader="none" w:pos="64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May 10, 2017</w:t>
      </w:r>
    </w:p>
    <w:p>
      <w:pPr>
        <w:spacing w:after="0" w:line="20" w:lineRule="exact"/>
        <w:rPr>
          <w:sz w:val="20"/>
          <w:szCs w:val="20"/>
          <w:color w:val="auto"/>
        </w:rPr>
      </w:pPr>
    </w:p>
    <w:p>
      <w:pPr>
        <w:jc w:val="right"/>
        <w:ind w:right="4400"/>
        <w:spacing w:after="0"/>
        <w:rPr>
          <w:sz w:val="20"/>
          <w:szCs w:val="20"/>
          <w:color w:val="auto"/>
        </w:rPr>
      </w:pPr>
      <w:r>
        <w:rPr>
          <w:rFonts w:ascii="Arial" w:cs="Arial" w:eastAsia="Arial" w:hAnsi="Arial"/>
          <w:sz w:val="18"/>
          <w:szCs w:val="18"/>
          <w:u w:val="single" w:color="auto"/>
          <w:color w:val="auto"/>
        </w:rPr>
        <w:t>/s/ Richard Wayne</w:t>
      </w:r>
    </w:p>
    <w:p>
      <w:pPr>
        <w:spacing w:after="0" w:line="7" w:lineRule="exact"/>
        <w:rPr>
          <w:sz w:val="20"/>
          <w:szCs w:val="20"/>
          <w:color w:val="auto"/>
        </w:rPr>
      </w:pPr>
    </w:p>
    <w:p>
      <w:pPr>
        <w:jc w:val="right"/>
        <w:ind w:right="4400"/>
        <w:spacing w:after="0"/>
        <w:rPr>
          <w:sz w:val="20"/>
          <w:szCs w:val="20"/>
          <w:color w:val="auto"/>
        </w:rPr>
      </w:pPr>
      <w:r>
        <w:rPr>
          <w:rFonts w:ascii="Arial" w:cs="Arial" w:eastAsia="Arial" w:hAnsi="Arial"/>
          <w:sz w:val="18"/>
          <w:szCs w:val="18"/>
          <w:color w:val="auto"/>
        </w:rPr>
        <w:t>Richard Wayne</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48" w:right="239" w:bottom="1440" w:gutter="0" w:footer="0" w:header="0"/>
        </w:sectPr>
      </w:pPr>
    </w:p>
    <w:bookmarkStart w:id="55" w:name="page56"/>
    <w:bookmarkEnd w:id="55"/>
    <w:p>
      <w:pPr>
        <w:spacing w:after="0"/>
        <w:tabs>
          <w:tab w:leader="none" w:pos="14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The Sarbanes-Oxley Act Of 2002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08" w:lineRule="exact"/>
        <w:rPr>
          <w:sz w:val="20"/>
          <w:szCs w:val="20"/>
          <w:color w:val="auto"/>
        </w:rPr>
      </w:pPr>
    </w:p>
    <w:p>
      <w:pPr>
        <w:ind w:left="360" w:hanging="246"/>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0" w:lineRule="exact"/>
        <w:rPr>
          <w:rFonts w:ascii="Arial" w:cs="Arial" w:eastAsia="Arial" w:hAnsi="Arial"/>
          <w:sz w:val="18"/>
          <w:szCs w:val="18"/>
          <w:color w:val="auto"/>
        </w:rPr>
      </w:pPr>
    </w:p>
    <w:p>
      <w:pPr>
        <w:ind w:left="360" w:right="200" w:hanging="246"/>
        <w:spacing w:after="0" w:line="334"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60" w:hanging="246"/>
        <w:spacing w:after="0" w:line="270"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360" w:right="160" w:hanging="246"/>
        <w:spacing w:after="0" w:line="259"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360" w:right="80" w:hanging="6"/>
        <w:spacing w:after="0" w:line="259" w:lineRule="auto"/>
        <w:tabs>
          <w:tab w:leader="none" w:pos="6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jc w:val="both"/>
        <w:ind w:left="360" w:hanging="6"/>
        <w:spacing w:after="0" w:line="259" w:lineRule="auto"/>
        <w:tabs>
          <w:tab w:leader="none" w:pos="6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360" w:right="20" w:hanging="6"/>
        <w:spacing w:after="0" w:line="300" w:lineRule="auto"/>
        <w:tabs>
          <w:tab w:leader="none" w:pos="647"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7"/>
          <w:szCs w:val="17"/>
          <w:color w:val="auto"/>
        </w:rPr>
      </w:pPr>
    </w:p>
    <w:p>
      <w:pPr>
        <w:ind w:left="360" w:right="260" w:hanging="6"/>
        <w:spacing w:after="0" w:line="259" w:lineRule="auto"/>
        <w:tabs>
          <w:tab w:leader="none" w:pos="65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360" w:right="600" w:hanging="246"/>
        <w:spacing w:after="0" w:line="300"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360" w:right="140" w:hanging="6"/>
        <w:spacing w:after="0" w:line="270" w:lineRule="auto"/>
        <w:tabs>
          <w:tab w:leader="none" w:pos="6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360" w:right="200" w:hanging="6"/>
        <w:spacing w:after="0" w:line="270" w:lineRule="auto"/>
        <w:tabs>
          <w:tab w:leader="none" w:pos="6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10, 2017</w:t>
      </w:r>
      <w:r>
        <w:rPr>
          <w:sz w:val="20"/>
          <w:szCs w:val="20"/>
          <w:color w:val="auto"/>
        </w:rPr>
        <w:tab/>
      </w:r>
      <w:r>
        <w:rPr>
          <w:rFonts w:ascii="Arial" w:cs="Arial" w:eastAsia="Arial" w:hAnsi="Arial"/>
          <w:sz w:val="14"/>
          <w:szCs w:val="14"/>
          <w:u w:val="single" w:color="auto"/>
          <w:color w:val="auto"/>
        </w:rPr>
        <w:t>/s/ Brian Shaughnessy</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Brian Shaughnessy</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2017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5" w:lineRule="exact"/>
        <w:rPr>
          <w:sz w:val="20"/>
          <w:szCs w:val="20"/>
          <w:color w:val="auto"/>
        </w:rPr>
      </w:pPr>
    </w:p>
    <w:p>
      <w:pPr>
        <w:ind w:left="640" w:hanging="286"/>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3" w:lineRule="exact"/>
        <w:rPr>
          <w:rFonts w:ascii="Arial" w:cs="Arial" w:eastAsia="Arial" w:hAnsi="Arial"/>
          <w:sz w:val="16"/>
          <w:szCs w:val="16"/>
          <w:color w:val="auto"/>
        </w:rPr>
      </w:pPr>
    </w:p>
    <w:p>
      <w:pPr>
        <w:ind w:left="360" w:right="140" w:hanging="6"/>
        <w:spacing w:after="0" w:line="270"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9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10, 2017</w:t>
      </w:r>
      <w:r>
        <w:rPr>
          <w:sz w:val="20"/>
          <w:szCs w:val="20"/>
          <w:color w:val="auto"/>
        </w:rPr>
        <w:tab/>
      </w:r>
      <w:r>
        <w:rPr>
          <w:rFonts w:ascii="Arial" w:cs="Arial" w:eastAsia="Arial" w:hAnsi="Arial"/>
          <w:sz w:val="14"/>
          <w:szCs w:val="14"/>
          <w:u w:val="single" w:color="auto"/>
          <w:color w:val="auto"/>
        </w:rPr>
        <w:t>/s/ Richard Wayne</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Wayne</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40"/>
          </w:cols>
          <w:pgMar w:left="240" w:top="121" w:right="319" w:bottom="1440" w:gutter="0" w:footer="0" w:header="0"/>
        </w:sectPr>
      </w:pPr>
    </w:p>
    <w:bookmarkStart w:id="57" w:name="page58"/>
    <w:bookmarkEnd w:id="57"/>
    <w:p>
      <w:pPr>
        <w:spacing w:after="0"/>
        <w:tabs>
          <w:tab w:leader="none" w:pos="126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2017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185" w:lineRule="exact"/>
        <w:rPr>
          <w:sz w:val="20"/>
          <w:szCs w:val="20"/>
          <w:color w:val="auto"/>
        </w:rPr>
      </w:pPr>
    </w:p>
    <w:p>
      <w:pPr>
        <w:ind w:left="640" w:hanging="28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3" w:lineRule="exact"/>
        <w:rPr>
          <w:rFonts w:ascii="Arial" w:cs="Arial" w:eastAsia="Arial" w:hAnsi="Arial"/>
          <w:sz w:val="16"/>
          <w:szCs w:val="16"/>
          <w:color w:val="auto"/>
        </w:rPr>
      </w:pPr>
    </w:p>
    <w:p>
      <w:pPr>
        <w:ind w:left="360" w:right="140" w:hanging="6"/>
        <w:spacing w:after="0" w:line="270"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9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10, 2017</w:t>
      </w:r>
      <w:r>
        <w:rPr>
          <w:sz w:val="20"/>
          <w:szCs w:val="20"/>
          <w:color w:val="auto"/>
        </w:rPr>
        <w:tab/>
      </w:r>
      <w:r>
        <w:rPr>
          <w:rFonts w:ascii="Arial" w:cs="Arial" w:eastAsia="Arial" w:hAnsi="Arial"/>
          <w:sz w:val="14"/>
          <w:szCs w:val="14"/>
          <w:u w:val="single" w:color="auto"/>
          <w:color w:val="auto"/>
        </w:rPr>
        <w:t>/s/ Brian Shaughnessy</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Brian Shaughnessy</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9"/>
    </w:lvl>
  </w:abstractNum>
  <w:abstractNum w:abstractNumId="9">
    <w:nsid w:val="4353D0CD"/>
    <w:multiLevelType w:val="hybridMultilevel"/>
    <w:lvl w:ilvl="0">
      <w:lvlJc w:val="left"/>
      <w:lvlText w:val="%1."/>
      <w:numFmt w:val="decimal"/>
      <w:start w:val="10"/>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lvl w:ilvl="1">
      <w:lvlJc w:val="left"/>
      <w:lvlText w:val="%2"/>
      <w:numFmt w:val="decimal"/>
      <w:start w:val="101"/>
    </w:lvl>
  </w:abstractNum>
  <w:abstractNum w:abstractNumId="34">
    <w:nsid w:val="5C482A97"/>
    <w:multiLevelType w:val="hybridMultilevel"/>
    <w:lvl w:ilvl="0">
      <w:lvlJc w:val="left"/>
      <w:lvlText w:val="**"/>
      <w:numFmt w:val="bullet"/>
      <w:start w:val="1"/>
    </w:lvl>
    <w:lvl w:ilvl="1">
      <w:lvlJc w:val="left"/>
      <w:lvlText w:val="%2"/>
      <w:numFmt w:val="decimal"/>
      <w:start w:val="1"/>
    </w:lvl>
  </w:abstractNum>
  <w:abstractNum w:abstractNumId="35">
    <w:nsid w:val="2463B9EA"/>
    <w:multiLevelType w:val="hybridMultilevel"/>
    <w:lvl w:ilvl="0">
      <w:lvlJc w:val="left"/>
      <w:lvlText w:val="*"/>
      <w:numFmt w:val="bullet"/>
      <w:start w:val="1"/>
    </w:lvl>
    <w:lvl w:ilvl="1">
      <w:lvlJc w:val="left"/>
      <w:lvlText w:val="%2"/>
      <w:numFmt w:val="decimal"/>
      <w:start w:val="101"/>
    </w:lvl>
  </w:abstractNum>
  <w:abstractNum w:abstractNumId="36">
    <w:nsid w:val="5E884ADC"/>
    <w:multiLevelType w:val="hybridMultilevel"/>
    <w:lvl w:ilvl="0">
      <w:lvlJc w:val="left"/>
      <w:lvlText w:val="**"/>
      <w:numFmt w:val="bullet"/>
      <w:start w:val="1"/>
    </w:lvl>
    <w:lvl w:ilvl="1">
      <w:lvlJc w:val="left"/>
      <w:lvlText w:val="%2"/>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2019-12-29T06:55:48Z</dcterms:created>
  <dcterms:modified xsi:type="dcterms:W3CDTF">2019-12-29T06:55:48Z</dcterms:modified>
</cp:coreProperties>
</file>