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3"/>
              </w:rPr>
              <w:t>Maine</w:t>
            </w:r>
          </w:p>
        </w:tc>
        <w:tc>
          <w:tcPr>
            <w:tcW w:w="352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01-0425066</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1"/>
              </w:rPr>
              <w:t>500 Canal Street, Lewiston, Maine</w:t>
            </w:r>
          </w:p>
        </w:tc>
        <w:tc>
          <w:tcPr>
            <w:tcW w:w="352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04240</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 Large accelerated filer __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__ Smaller Reporting Company __</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2, 2016, the registrant had outstanding 7,487,552 shares of voting common stock, $1.00 par value per share and 1,343,683 shares of non-voting common stock, $1.00 par value per share.</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00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b w:val="1"/>
                <w:bCs w:val="1"/>
                <w:color w:val="auto"/>
              </w:rPr>
              <w:t>Item 1.</w:t>
            </w:r>
          </w:p>
        </w:tc>
        <w:tc>
          <w:tcPr>
            <w:tcW w:w="9200" w:type="dxa"/>
            <w:vAlign w:val="bottom"/>
            <w:gridSpan w:val="19"/>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0" w:type="dxa"/>
            <w:vAlign w:val="bottom"/>
            <w:gridSpan w:val="19"/>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Balance Sheets September 30, 2016 and June 30, 2016</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00" w:type="dxa"/>
            <w:vAlign w:val="bottom"/>
            <w:tcBorders>
              <w:bottom w:val="single" w:sz="8" w:color="0000EE"/>
            </w:tcBorders>
            <w:gridSpan w:val="14"/>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Consolidated Statements of Income Three Months Ended September 30, 2016 and 2015</w:t>
              </w:r>
            </w:hyperlink>
          </w:p>
        </w:tc>
        <w:tc>
          <w:tcPr>
            <w:tcW w:w="250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40" w:type="dxa"/>
            <w:vAlign w:val="bottom"/>
            <w:tcBorders>
              <w:bottom w:val="single" w:sz="8" w:color="0000EE"/>
            </w:tcBorders>
            <w:gridSpan w:val="17"/>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Statements of Comprehensive Income Three Months Ended September 30, 2016 and 2015</w:t>
              </w:r>
            </w:hyperlink>
          </w:p>
        </w:tc>
        <w:tc>
          <w:tcPr>
            <w:tcW w:w="126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6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Statements of Changes in Shareholders' Equity Three Months Ended September 30, 2016 and 2015</w:t>
              </w:r>
            </w:hyperlink>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gridSpan w:val="19"/>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Consolidated Statements of Cash Flows Three Months Ended September 30, 2016 and 2015</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Notes to Consolidated Financial Statements</w:t>
              </w:r>
            </w:hyperlink>
          </w:p>
        </w:tc>
        <w:tc>
          <w:tcPr>
            <w:tcW w:w="22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Management's Discussion and Analysis of Financial Condition and Results of Operations</w:t>
              </w:r>
            </w:hyperlink>
          </w:p>
        </w:tc>
        <w:tc>
          <w:tcPr>
            <w:tcW w:w="236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200" w:type="dxa"/>
            <w:vAlign w:val="bottom"/>
            <w:gridSpan w:val="19"/>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Quantitative and Qualitative Disclosure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Controls and Procedures</w:t>
              </w:r>
            </w:hyperlink>
          </w:p>
        </w:tc>
        <w:tc>
          <w:tcPr>
            <w:tcW w:w="2640" w:type="dxa"/>
            <w:vAlign w:val="bottom"/>
            <w:tcBorders>
              <w:top w:val="single" w:sz="8" w:color="0000EE"/>
            </w:tcBorders>
            <w:gridSpan w:val="4"/>
          </w:tcPr>
          <w:p>
            <w:pPr>
              <w:spacing w:after="0"/>
              <w:rPr>
                <w:sz w:val="24"/>
                <w:szCs w:val="24"/>
                <w:color w:val="auto"/>
              </w:rPr>
            </w:pPr>
          </w:p>
        </w:tc>
        <w:tc>
          <w:tcPr>
            <w:tcW w:w="464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7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0000" w:type="dxa"/>
            <w:vAlign w:val="bottom"/>
            <w:gridSpan w:val="20"/>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200" w:type="dxa"/>
            <w:vAlign w:val="bottom"/>
            <w:gridSpan w:val="19"/>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Risk Factors</w:t>
              </w:r>
            </w:hyperlink>
          </w:p>
        </w:tc>
        <w:tc>
          <w:tcPr>
            <w:tcW w:w="780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2"/>
          </w:tcPr>
          <w:p>
            <w:pPr>
              <w:spacing w:after="0"/>
              <w:rPr>
                <w:rFonts w:ascii="Arial" w:cs="Arial" w:eastAsia="Arial" w:hAnsi="Arial"/>
                <w:sz w:val="18"/>
                <w:szCs w:val="18"/>
                <w:b w:val="1"/>
                <w:bCs w:val="1"/>
                <w:color w:val="0000EE"/>
                <w:w w:val="87"/>
              </w:rPr>
            </w:pPr>
            <w:hyperlink w:anchor="page44">
              <w:r>
                <w:rPr>
                  <w:rFonts w:ascii="Arial" w:cs="Arial" w:eastAsia="Arial" w:hAnsi="Arial"/>
                  <w:sz w:val="18"/>
                  <w:szCs w:val="18"/>
                  <w:b w:val="1"/>
                  <w:bCs w:val="1"/>
                  <w:color w:val="0000EE"/>
                  <w:w w:val="87"/>
                </w:rPr>
                <w:t>Unregistered Sales of Equity Securities and Use of Proceeds</w:t>
              </w:r>
            </w:hyperlink>
          </w:p>
        </w:tc>
        <w:tc>
          <w:tcPr>
            <w:tcW w:w="462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6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44">
              <w:r>
                <w:rPr>
                  <w:rFonts w:ascii="Arial" w:cs="Arial" w:eastAsia="Arial" w:hAnsi="Arial"/>
                  <w:sz w:val="18"/>
                  <w:szCs w:val="18"/>
                  <w:b w:val="1"/>
                  <w:bCs w:val="1"/>
                  <w:color w:val="0000EE"/>
                  <w:w w:val="89"/>
                </w:rPr>
                <w:t>Defaults Upon Senior Securities</w:t>
              </w:r>
            </w:hyperlink>
          </w:p>
        </w:tc>
        <w:tc>
          <w:tcPr>
            <w:tcW w:w="674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200" w:type="dxa"/>
            <w:vAlign w:val="bottom"/>
            <w:gridSpan w:val="19"/>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4"/>
              </w:rPr>
            </w:pPr>
            <w:hyperlink w:anchor="page44">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tcPr>
          <w:p>
            <w:pPr>
              <w:spacing w:after="0"/>
              <w:rPr>
                <w:sz w:val="24"/>
                <w:szCs w:val="24"/>
                <w:color w:val="auto"/>
              </w:rPr>
            </w:pPr>
          </w:p>
        </w:tc>
        <w:tc>
          <w:tcPr>
            <w:tcW w:w="736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200" w:type="dxa"/>
            <w:vAlign w:val="bottom"/>
            <w:gridSpan w:val="19"/>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96"/>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920" w:type="dxa"/>
            <w:vAlign w:val="bottom"/>
            <w:gridSpan w:val="10"/>
          </w:tcPr>
          <w:p>
            <w:pPr>
              <w:jc w:val="right"/>
              <w:ind w:right="3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5"/>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7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20" w:type="dxa"/>
            <w:vAlign w:val="bottom"/>
            <w:gridSpan w:val="2"/>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16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w w:val="89"/>
              </w:rPr>
              <w:t>September 30, 2016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2"/>
              </w:rPr>
              <w:t>June 30,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3,574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held for sale</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Loans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Less: Allowance for loan losses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985,568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986,153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700"/>
              <w:spacing w:after="0"/>
              <w:rPr>
                <w:sz w:val="20"/>
                <w:szCs w:val="20"/>
                <w:color w:val="auto"/>
              </w:rPr>
            </w:pPr>
            <w:r>
              <w:rPr>
                <w:rFonts w:ascii="Arial" w:cs="Arial" w:eastAsia="Arial" w:hAnsi="Arial"/>
                <w:sz w:val="18"/>
                <w:szCs w:val="18"/>
                <w:color w:val="auto"/>
              </w:rPr>
              <w:t>Liabilities and Shareholders' Equity</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Deposits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Savings and interest checking</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Time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351,091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deposits</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Subordinated debt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Preferred stock, $1.00 par value, 1,000,000 shares authorized; no shares issued and outstanding at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30, 2016 and June 30, 2016</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6"/>
              </w:rPr>
              <w:t>Voting common stock, $1.00 par value, 25,000,000 shares authorized; 7,487,552 and 8,089,790 shares</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issued and outstanding at September 30, 2016 and June 30, 2016, respectively</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Non-voting common stock, $1.00 par value, 3,000,000 shares authorized; 1,343,683 and 1,227,683 shares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September 30, 2016 and June 30, 2016, respectively</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985,568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986,153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208"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jc w:val="right"/>
              <w:ind w:right="400"/>
              <w:spacing w:after="0"/>
              <w:rPr>
                <w:sz w:val="20"/>
                <w:szCs w:val="20"/>
                <w:color w:val="auto"/>
              </w:rPr>
            </w:pPr>
            <w:r>
              <w:rPr>
                <w:rFonts w:ascii="Arial" w:cs="Arial" w:eastAsia="Arial" w:hAnsi="Arial"/>
                <w:sz w:val="18"/>
                <w:szCs w:val="18"/>
                <w:color w:val="auto"/>
                <w:w w:val="92"/>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11,803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Noninterest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loans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Loss recognized on real estate owned and other repossessed collateral, net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Basic</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9,106,144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9,562,812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9,562,812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908"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908"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00" w:type="dxa"/>
            <w:vAlign w:val="bottom"/>
            <w:gridSpan w:val="6"/>
          </w:tcPr>
          <w:p>
            <w:pPr>
              <w:jc w:val="right"/>
              <w:ind w:right="400"/>
              <w:spacing w:after="0"/>
              <w:rPr>
                <w:sz w:val="20"/>
                <w:szCs w:val="20"/>
                <w:color w:val="auto"/>
              </w:rPr>
            </w:pPr>
            <w:r>
              <w:rPr>
                <w:rFonts w:ascii="Arial" w:cs="Arial" w:eastAsia="Arial" w:hAnsi="Arial"/>
                <w:sz w:val="18"/>
                <w:szCs w:val="18"/>
                <w:color w:val="auto"/>
                <w:w w:val="9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net unrealized (loss) gain on available-for-sale securities</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accumulated gain (loss) on effective cash flow hedges</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Reclassification adjustments included in net income</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1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Total other comprehensive income (loss), before tax</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related to other comprehensive loss</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gridSpan w:val="4"/>
          </w:tcPr>
          <w:p>
            <w:pPr>
              <w:ind w:left="100"/>
              <w:spacing w:after="0"/>
              <w:rPr>
                <w:sz w:val="20"/>
                <w:szCs w:val="20"/>
                <w:color w:val="auto"/>
              </w:rPr>
            </w:pPr>
            <w:r>
              <w:rPr>
                <w:rFonts w:ascii="Arial" w:cs="Arial" w:eastAsia="Arial" w:hAnsi="Arial"/>
                <w:sz w:val="18"/>
                <w:szCs w:val="18"/>
                <w:color w:val="auto"/>
              </w:rPr>
              <w:t>Non-voting Common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Preferred Stock</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6"/>
              </w:rPr>
              <w:t>Voting Common Stock</w:t>
            </w: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Stock</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Additional</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2"/>
              </w:rPr>
              <w:t>Paid-in</w:t>
            </w:r>
          </w:p>
        </w:tc>
        <w:tc>
          <w:tcPr>
            <w:tcW w:w="86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Retained</w:t>
            </w:r>
          </w:p>
        </w:tc>
        <w:tc>
          <w:tcPr>
            <w:tcW w:w="132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6"/>
              </w:rPr>
              <w:t>Comprehensive</w:t>
            </w:r>
          </w:p>
        </w:tc>
        <w:tc>
          <w:tcPr>
            <w:tcW w:w="114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1"/>
              </w:rPr>
              <w:t>Shares</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Amount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Shares</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Amount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Shares</w:t>
            </w:r>
          </w:p>
        </w:tc>
        <w:tc>
          <w:tcPr>
            <w:tcW w:w="840" w:type="dxa"/>
            <w:vAlign w:val="bottom"/>
            <w:gridSpan w:val="3"/>
          </w:tcPr>
          <w:p>
            <w:pPr>
              <w:ind w:left="12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2"/>
              </w:rPr>
              <w:t>Capital</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20"/>
                <w:szCs w:val="20"/>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2"/>
              </w:rPr>
              <w:t>Balance at June 30, 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8,575,144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8,575</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1,012,739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85,506</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18,921</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1,867</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Other comprehensive</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net of tax</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Common stock</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repurchased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(52,500)</w:t>
            </w:r>
          </w:p>
        </w:tc>
        <w:tc>
          <w:tcPr>
            <w:tcW w:w="2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 voting</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to</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voting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9,978</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w w:val="96"/>
              </w:rPr>
              <w:t>Dividends on common</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stock at $0.01 per</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share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Issuance of restricted</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97,500</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forfeiture of</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common</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(40,554)</w:t>
            </w:r>
          </w:p>
        </w:tc>
        <w:tc>
          <w:tcPr>
            <w:tcW w:w="2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Balance at September</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8,569,612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8,570</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1,022,717</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1,023</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84,937</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w w:val="94"/>
              </w:rPr>
              <w:t>20,693</w:t>
            </w: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(1,519)</w:t>
            </w:r>
          </w:p>
        </w:tc>
        <w:tc>
          <w:tcPr>
            <w:tcW w:w="2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113,704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30, 2015</w:t>
            </w:r>
          </w:p>
        </w:tc>
        <w:tc>
          <w:tcPr>
            <w:tcW w:w="6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2"/>
              </w:rPr>
              <w:t>Balance at June 30, 2016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8,089,790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8,089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1,227,683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83,020</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26,160</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w w:val="99"/>
              </w:rPr>
              <w:t>Other comprehensive</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loss, net of tax</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(645,238)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Conversion of voting</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common stock to</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non-</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voting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116,000</w:t>
            </w:r>
          </w:p>
        </w:tc>
        <w:tc>
          <w:tcPr>
            <w:tcW w:w="26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Dividends on common</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at $0.01 per</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Stock-based</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restricted</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forfeiture of</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restricted common</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stock</w:t>
            </w:r>
          </w:p>
        </w:tc>
        <w:tc>
          <w:tcPr>
            <w:tcW w:w="6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September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7,487,552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7,487</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1,343,683</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76,765</w:t>
            </w:r>
          </w:p>
        </w:tc>
        <w:tc>
          <w:tcPr>
            <w:tcW w:w="2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4"/>
              </w:rPr>
              <w:t>27,818</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111,553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30, 2016</w:t>
            </w: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gridSpan w:val="2"/>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7"/>
          </w:tcPr>
          <w:p>
            <w:pPr>
              <w:jc w:val="right"/>
              <w:ind w:right="400"/>
              <w:spacing w:after="0"/>
              <w:rPr>
                <w:sz w:val="20"/>
                <w:szCs w:val="20"/>
                <w:color w:val="auto"/>
              </w:rPr>
            </w:pPr>
            <w:r>
              <w:rPr>
                <w:rFonts w:ascii="Arial" w:cs="Arial" w:eastAsia="Arial" w:hAnsi="Arial"/>
                <w:sz w:val="18"/>
                <w:szCs w:val="18"/>
                <w:color w:val="auto"/>
                <w:w w:val="92"/>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Loss on sale and impairment of real estate owned and other repossessed collateral,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Loss on sale and disposal of premises and equipment,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loans,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Accretion of fair value adjustments on deposits,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borrowings,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Amortization of subordinated debt issuance costs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Originations of loans held for sale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(33,459)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Net proceeds from sales of loans held for sale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33,758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residential loans held for sale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Gain on sales of SBA loans held for sale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Bank-owned life insurance income,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of premises and 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available-for-sale securities,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Changes in other assets and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Investing activities: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14,681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(13,969)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Repayment of capital lease obligation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(24,908)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151,157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126,249</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0"/>
                <w:szCs w:val="20"/>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w:t>
      </w:r>
    </w:p>
    <w:p>
      <w:pPr>
        <w:spacing w:after="0" w:line="20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(“US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2016 (“Fiscal 2016”) included in the Company's Annual Report on Form 10-K filed with the Securities and Exchange Commission.</w:t>
      </w:r>
    </w:p>
    <w:p>
      <w:pPr>
        <w:spacing w:after="0" w:line="17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Revenue from Contracts with Customers (Topic 606) (“ASU 2014-09”) was issued in August 2015 which defers adoption to annual reporting periods beginning after December 15, 2017. The Company is currently evaluating the impact of the adoption of ASU 2014-09 on its consolidated financial statements.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Early adoption is permitted for only one of the six amendments. The Company is currently evaluating the impact of the adoption of ASU 2016-01 on its consolidated financial statements.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on its consolidated financial statements.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March 2016, the FASB issued ASU 2016-05, </w:t>
      </w:r>
      <w:r>
        <w:rPr>
          <w:rFonts w:ascii="Arial" w:cs="Arial" w:eastAsia="Arial" w:hAnsi="Arial"/>
          <w:sz w:val="17"/>
          <w:szCs w:val="17"/>
          <w:i w:val="1"/>
          <w:iCs w:val="1"/>
          <w:color w:val="auto"/>
        </w:rPr>
        <w:t>Derivatives and Hedging (Topic 815): Effect of Derivative Contract Novations on Existing Hedge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(“ASU 2016-05”). The new guidance clarifies that a change in the counterparty to a derivative instrument that has been designated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 under Topic 815 does not, in and of itself, require de-designation of that hedging relationship provided that all other hedge accounting criteria continue to be met. This guidance is effective for fiscal years beginning after December 15, 2016, and interim periods within those fiscal years. The adoption of this guidance is not expected to have a significant impact on the Company’s financial statements.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will be required to recognize the income tax effects of awards in the income statement when the awards vest or are settled. This guidance is effective for fiscal years beginning after December 15, 2016, and interim periods within those annual periods. The adoption of this guidance is not expected to have a significant impact on the Company’s financial statements.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This update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US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currently evaluating the impact of this ASU on its consolidated financial statements.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This update clarifies and provides guidance on several cash receipt and cash payment classification issues, including debt prepayment and 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in this Update are effective for public business entities for fiscal years beginning after December 15, 2017, and interim periods within those fiscal years. Early adoption is permitted, including adoption in an interim period. The adoption of this guidance is not expected to have a significant impact on the Company’s financial statements.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color w:val="auto"/>
                <w:w w:val="89"/>
              </w:rPr>
              <w:t>September 30, 2016</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48,856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40,483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40,571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94,464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94,583</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color w:val="auto"/>
                <w:w w:val="89"/>
              </w:rPr>
              <w:t>June 30, 2016</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51,948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43,368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100,375</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100,572</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months ended September 30, 2016 or 2015. At September 30, 2016,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8"/>
              </w:rPr>
              <w:t>September 30, 2016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38,753</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months ended September 30, 2016 or 2015.</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September 30, 2016, the Company had seven securities in a continuous loss position for greater than twelve months. At September 30, 2016, all of the Company’s available-for-sale securities were issued or guaranteed by either government agencies or government-sponsored enterprises. The decline in fair value of the Company’s available-for-sale securities at September 30, 2016 is attributable to changes in interest rates.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September 30, 2016,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September 30, 2016.</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investment measured at net asset value is a fund that seeks to invest in securities either issued or guaranteed by the U.S. government or its agencies. The underlying composition of such fund is primarily government agencies or other investment-grade investments. The effective duration of the investments is 4.67 years at September 30, 2016.</w:t>
      </w:r>
    </w:p>
    <w:p>
      <w:pPr>
        <w:sectPr>
          <w:pgSz w:w="11900" w:h="16838" w:orient="portrait"/>
          <w:cols w:equalWidth="0" w:num="1">
            <w:col w:w="11420"/>
          </w:cols>
          <w:pgMar w:left="240" w:top="118"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September 30, 2016. Actual maturities may differ from contractual maturities because borrowers may have the right to call or prepay obligations with or without call or prepayment penalties.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Amortized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Fair</w:t>
            </w:r>
          </w:p>
        </w:tc>
        <w:tc>
          <w:tcPr>
            <w:tcW w:w="232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ind w:left="600"/>
              <w:spacing w:after="0"/>
              <w:rPr>
                <w:sz w:val="20"/>
                <w:szCs w:val="20"/>
                <w:color w:val="auto"/>
              </w:rPr>
            </w:pPr>
            <w:r>
              <w:rPr>
                <w:rFonts w:ascii="Arial" w:cs="Arial" w:eastAsia="Arial" w:hAnsi="Arial"/>
                <w:sz w:val="18"/>
                <w:szCs w:val="18"/>
                <w:color w:val="auto"/>
              </w:rPr>
              <w:t>(Dollars in thousands)</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48,856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48,849</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18,104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18,217</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ten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22,379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22,354</w:t>
            </w:r>
          </w:p>
        </w:tc>
        <w:tc>
          <w:tcPr>
            <w:tcW w:w="2320" w:type="dxa"/>
            <w:vAlign w:val="bottom"/>
          </w:tcPr>
          <w:p>
            <w:pPr>
              <w:spacing w:after="0"/>
              <w:rPr>
                <w:sz w:val="18"/>
                <w:szCs w:val="18"/>
                <w:color w:val="auto"/>
              </w:rPr>
            </w:pPr>
          </w:p>
        </w:tc>
      </w:tr>
      <w:tr>
        <w:trPr>
          <w:trHeight w:val="25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89,420</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r>
      <w:tr>
        <w:trPr>
          <w:trHeight w:val="656"/>
        </w:trPr>
        <w:tc>
          <w:tcPr>
            <w:tcW w:w="4180" w:type="dxa"/>
            <w:vAlign w:val="bottom"/>
          </w:tcPr>
          <w:p>
            <w:pPr>
              <w:spacing w:after="0"/>
              <w:rPr>
                <w:sz w:val="24"/>
                <w:szCs w:val="24"/>
                <w:color w:val="auto"/>
              </w:rPr>
            </w:pPr>
          </w:p>
        </w:tc>
        <w:tc>
          <w:tcPr>
            <w:tcW w:w="1840" w:type="dxa"/>
            <w:vAlign w:val="bottom"/>
            <w:gridSpan w:val="2"/>
          </w:tcPr>
          <w:p>
            <w:pPr>
              <w:jc w:val="right"/>
              <w:ind w:right="145"/>
              <w:spacing w:after="0"/>
              <w:rPr>
                <w:sz w:val="20"/>
                <w:szCs w:val="20"/>
                <w:color w:val="auto"/>
              </w:rPr>
            </w:pPr>
            <w:r>
              <w:rPr>
                <w:rFonts w:ascii="Arial" w:cs="Arial" w:eastAsia="Arial" w:hAnsi="Arial"/>
                <w:sz w:val="18"/>
                <w:szCs w:val="18"/>
                <w:color w:val="auto"/>
              </w:rPr>
              <w:t>11</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4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41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Loans purchased by the Company are accounted for under ASC 310-30, Receivables—Loans and Debt Securities Acquired with Deteriorated Credit Quality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 The composition of the Company’s loan portfolio is as follows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3"/>
              </w:rPr>
              <w:t>September 30, 2016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2016</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Originated</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18,012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18,012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189,616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426,568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154,008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145,758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145,956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485,104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236,314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721,418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452,727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692,436</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Total loans include deferred loan origination costs of $367 thousand and fees of $58 thousand as of September 30, 2016 and June 30, 2016,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color w:val="auto"/>
                <w:w w:val="94"/>
              </w:rPr>
              <w:t>September 30, 2016</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637</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2,367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87,151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90,230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217,886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218,236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154,008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5,337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481,382</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226,458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6,060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230,254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236,314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711,636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2016</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60-89</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1,555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90,624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93,391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189,296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449,228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233,546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236,303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685,531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and industrial, consumer, residential real estate, and purchased loans. Risk characteristics relevant to each portfolio segment are as follows:</w:t>
      </w:r>
    </w:p>
    <w:p>
      <w:pPr>
        <w:spacing w:after="0" w:line="188" w:lineRule="exact"/>
        <w:rPr>
          <w:sz w:val="20"/>
          <w:szCs w:val="20"/>
          <w:color w:val="auto"/>
        </w:rPr>
      </w:pPr>
    </w:p>
    <w:p>
      <w:pPr>
        <w:ind w:left="480" w:right="8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6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480" w:right="30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8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8"/>
                <w:szCs w:val="18"/>
                <w:color w:val="auto"/>
                <w:w w:val="89"/>
              </w:rPr>
              <w:t>Three Months Ended September 30, 2016</w:t>
            </w: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1160" w:type="dxa"/>
            <w:vAlign w:val="bottom"/>
            <w:gridSpan w:val="3"/>
          </w:tcPr>
          <w:p>
            <w:pPr>
              <w:jc w:val="right"/>
              <w:ind w:right="280"/>
              <w:spacing w:after="0" w:line="195" w:lineRule="exact"/>
              <w:rPr>
                <w:sz w:val="20"/>
                <w:szCs w:val="20"/>
                <w:color w:val="auto"/>
              </w:rPr>
            </w:pPr>
            <w:r>
              <w:rPr>
                <w:rFonts w:ascii="Arial" w:cs="Arial" w:eastAsia="Arial" w:hAnsi="Arial"/>
                <w:sz w:val="18"/>
                <w:szCs w:val="18"/>
                <w:color w:val="auto"/>
                <w:w w:val="96"/>
              </w:rPr>
              <w:t>Residential</w:t>
            </w:r>
          </w:p>
        </w:tc>
        <w:tc>
          <w:tcPr>
            <w:tcW w:w="1040" w:type="dxa"/>
            <w:vAlign w:val="bottom"/>
            <w:gridSpan w:val="3"/>
          </w:tcPr>
          <w:p>
            <w:pPr>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112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w w:val="95"/>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0"/>
              </w:rPr>
              <w:t>Real Estate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8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Consumer</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Purchased</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0"/>
        </w:trPr>
        <w:tc>
          <w:tcPr>
            <w:tcW w:w="3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7"/>
          </w:tcPr>
          <w:p>
            <w:pPr>
              <w:jc w:val="center"/>
              <w:ind w:left="330"/>
              <w:spacing w:after="0"/>
              <w:rPr>
                <w:sz w:val="20"/>
                <w:szCs w:val="20"/>
                <w:color w:val="auto"/>
              </w:rPr>
            </w:pPr>
            <w:r>
              <w:rPr>
                <w:rFonts w:ascii="Arial" w:cs="Arial" w:eastAsia="Arial" w:hAnsi="Arial"/>
                <w:sz w:val="18"/>
                <w:szCs w:val="18"/>
                <w:color w:val="auto"/>
                <w:w w:val="91"/>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7"/>
        </w:trPr>
        <w:tc>
          <w:tcPr>
            <w:tcW w:w="3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8"/>
                <w:szCs w:val="18"/>
                <w:color w:val="auto"/>
                <w:w w:val="89"/>
              </w:rPr>
              <w:t>Three Months Ended September 30, 2015</w:t>
            </w: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1160" w:type="dxa"/>
            <w:vAlign w:val="bottom"/>
            <w:gridSpan w:val="3"/>
          </w:tcPr>
          <w:p>
            <w:pPr>
              <w:jc w:val="right"/>
              <w:ind w:right="280"/>
              <w:spacing w:after="0" w:line="195" w:lineRule="exact"/>
              <w:rPr>
                <w:sz w:val="20"/>
                <w:szCs w:val="20"/>
                <w:color w:val="auto"/>
              </w:rPr>
            </w:pPr>
            <w:r>
              <w:rPr>
                <w:rFonts w:ascii="Arial" w:cs="Arial" w:eastAsia="Arial" w:hAnsi="Arial"/>
                <w:sz w:val="18"/>
                <w:szCs w:val="18"/>
                <w:color w:val="auto"/>
                <w:w w:val="96"/>
              </w:rPr>
              <w:t>Residential</w:t>
            </w:r>
          </w:p>
        </w:tc>
        <w:tc>
          <w:tcPr>
            <w:tcW w:w="1040" w:type="dxa"/>
            <w:vAlign w:val="bottom"/>
            <w:gridSpan w:val="3"/>
          </w:tcPr>
          <w:p>
            <w:pPr>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112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w w:val="95"/>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0"/>
              </w:rPr>
              <w:t>Real Estate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8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Consumer</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Purchased</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0"/>
        </w:trPr>
        <w:tc>
          <w:tcPr>
            <w:tcW w:w="3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7"/>
          </w:tcPr>
          <w:p>
            <w:pPr>
              <w:jc w:val="center"/>
              <w:ind w:left="330"/>
              <w:spacing w:after="0"/>
              <w:rPr>
                <w:sz w:val="20"/>
                <w:szCs w:val="20"/>
                <w:color w:val="auto"/>
              </w:rPr>
            </w:pPr>
            <w:r>
              <w:rPr>
                <w:rFonts w:ascii="Arial" w:cs="Arial" w:eastAsia="Arial" w:hAnsi="Arial"/>
                <w:sz w:val="18"/>
                <w:szCs w:val="18"/>
                <w:color w:val="auto"/>
                <w:w w:val="91"/>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September 30, 2016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Residential</w:t>
            </w:r>
          </w:p>
        </w:tc>
        <w:tc>
          <w:tcPr>
            <w:tcW w:w="9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Commercial</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160"/>
              <w:spacing w:after="0" w:line="195" w:lineRule="exact"/>
              <w:rPr>
                <w:sz w:val="20"/>
                <w:szCs w:val="20"/>
                <w:color w:val="auto"/>
              </w:rPr>
            </w:pPr>
            <w:r>
              <w:rPr>
                <w:rFonts w:ascii="Arial" w:cs="Arial" w:eastAsia="Arial" w:hAnsi="Arial"/>
                <w:sz w:val="18"/>
                <w:szCs w:val="18"/>
                <w:color w:val="auto"/>
                <w:w w:val="95"/>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940" w:type="dxa"/>
            <w:vAlign w:val="bottom"/>
            <w:gridSpan w:val="2"/>
          </w:tcPr>
          <w:p>
            <w:pPr>
              <w:ind w:left="60"/>
              <w:spacing w:after="0"/>
              <w:rPr>
                <w:sz w:val="20"/>
                <w:szCs w:val="20"/>
                <w:color w:val="auto"/>
              </w:rPr>
            </w:pPr>
            <w:r>
              <w:rPr>
                <w:rFonts w:ascii="Arial" w:cs="Arial" w:eastAsia="Arial" w:hAnsi="Arial"/>
                <w:sz w:val="18"/>
                <w:szCs w:val="18"/>
                <w:color w:val="auto"/>
                <w:w w:val="92"/>
              </w:rPr>
              <w:t>Real Estate</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Real Estate</w:t>
            </w:r>
          </w:p>
        </w:tc>
        <w:tc>
          <w:tcPr>
            <w:tcW w:w="2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and Industrial</w:t>
            </w:r>
          </w:p>
        </w:tc>
        <w:tc>
          <w:tcPr>
            <w:tcW w:w="10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Consumer</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Purchased</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0"/>
        </w:trPr>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1,948</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4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5,790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8,031</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477,073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236,314</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236,314</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236,314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June 30, 2016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Residential</w:t>
            </w:r>
          </w:p>
        </w:tc>
        <w:tc>
          <w:tcPr>
            <w:tcW w:w="9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Commercial</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160"/>
              <w:spacing w:after="0" w:line="195" w:lineRule="exact"/>
              <w:rPr>
                <w:sz w:val="20"/>
                <w:szCs w:val="20"/>
                <w:color w:val="auto"/>
              </w:rPr>
            </w:pPr>
            <w:r>
              <w:rPr>
                <w:rFonts w:ascii="Arial" w:cs="Arial" w:eastAsia="Arial" w:hAnsi="Arial"/>
                <w:sz w:val="18"/>
                <w:szCs w:val="18"/>
                <w:color w:val="auto"/>
                <w:w w:val="95"/>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940" w:type="dxa"/>
            <w:vAlign w:val="bottom"/>
            <w:gridSpan w:val="2"/>
          </w:tcPr>
          <w:p>
            <w:pPr>
              <w:ind w:left="60"/>
              <w:spacing w:after="0"/>
              <w:rPr>
                <w:sz w:val="20"/>
                <w:szCs w:val="20"/>
                <w:color w:val="auto"/>
              </w:rPr>
            </w:pPr>
            <w:r>
              <w:rPr>
                <w:rFonts w:ascii="Arial" w:cs="Arial" w:eastAsia="Arial" w:hAnsi="Arial"/>
                <w:sz w:val="18"/>
                <w:szCs w:val="18"/>
                <w:color w:val="auto"/>
                <w:w w:val="92"/>
              </w:rPr>
              <w:t>Real Estate</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Real Estate</w:t>
            </w:r>
          </w:p>
        </w:tc>
        <w:tc>
          <w:tcPr>
            <w:tcW w:w="2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and Industrial</w:t>
            </w:r>
          </w:p>
        </w:tc>
        <w:tc>
          <w:tcPr>
            <w:tcW w:w="10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Consumer</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Purchased</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0"/>
        </w:trPr>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5,039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1,686</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7,104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445,623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239,709</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2016</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June 30, 2016</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4"/>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9"/>
              </w:rPr>
              <w:t>Recorded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1,484</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1,812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15,658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17,154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15,011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8"/>
                <w:szCs w:val="18"/>
                <w:color w:val="auto"/>
                <w:w w:val="89"/>
              </w:rPr>
              <w:t>Three Months Ended September 30,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16,841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18" w:right="599" w:bottom="744" w:gutter="0" w:footer="0" w:header="0"/>
        </w:sect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744"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91"/>
              </w:rPr>
              <w:t>September 30, 2016</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6"/>
                <w:szCs w:val="16"/>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224,071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599,537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12,446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218,236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154,008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8,629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236,314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617,187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2016</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6"/>
                <w:szCs w:val="16"/>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227,895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189,616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145,758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239,709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583,733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20" w:right="1520" w:hanging="215"/>
        <w:spacing w:after="0" w:line="277" w:lineRule="auto"/>
        <w:rPr>
          <w:sz w:val="20"/>
          <w:szCs w:val="20"/>
          <w:color w:val="auto"/>
        </w:rPr>
      </w:pPr>
      <w:r>
        <w:rPr>
          <w:rFonts w:ascii="Arial" w:cs="Arial" w:eastAsia="Arial" w:hAnsi="Arial"/>
          <w:sz w:val="18"/>
          <w:szCs w:val="18"/>
          <w:color w:val="auto"/>
        </w:rPr>
        <w:t>(1)Certain of the Company’s loans made for commercial purposes, but secured by residential collateral, are rated under the Company’s risk-rating system.</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Three Months Ended September 30,</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9"/>
              </w:rPr>
              <w:t>2015</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3380" w:type="dxa"/>
            <w:vAlign w:val="bottom"/>
          </w:tcPr>
          <w:p>
            <w:pPr>
              <w:spacing w:after="0"/>
              <w:rPr>
                <w:sz w:val="16"/>
                <w:szCs w:val="16"/>
                <w:color w:val="auto"/>
              </w:rPr>
            </w:pPr>
          </w:p>
        </w:tc>
        <w:tc>
          <w:tcPr>
            <w:tcW w:w="148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6"/>
                <w:szCs w:val="16"/>
                <w:color w:val="auto"/>
              </w:rPr>
            </w:pPr>
          </w:p>
        </w:tc>
        <w:tc>
          <w:tcPr>
            <w:tcW w:w="11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Contracts</w:t>
            </w:r>
          </w:p>
        </w:tc>
        <w:tc>
          <w:tcPr>
            <w:tcW w:w="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Investment</w:t>
            </w:r>
          </w:p>
        </w:tc>
        <w:tc>
          <w:tcPr>
            <w:tcW w:w="8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Principal deferment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153"/>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Investment</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0"/>
              </w:rPr>
              <w:t>Contracts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w:t>
            </w: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Post-Modification</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0"/>
              </w:rPr>
              <w:t>Contracts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13"/>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18"/>
                <w:szCs w:val="18"/>
                <w:color w:val="auto"/>
              </w:rPr>
            </w:pPr>
          </w:p>
        </w:tc>
        <w:tc>
          <w:tcPr>
            <w:tcW w:w="1620" w:type="dxa"/>
            <w:vAlign w:val="bottom"/>
            <w:gridSpan w:val="4"/>
          </w:tcPr>
          <w:p>
            <w:pPr>
              <w:ind w:left="22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Modification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7"/>
              </w:rPr>
              <w:t>Modification</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3"/>
          </w:tcPr>
          <w:p>
            <w:pPr>
              <w:ind w:left="46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91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No loans modified in a TDR in the last twelve months defaulted during the three months ended September 30, 2016. As of September 30, 2016, there were no further commitments to lend to borrowers associated with loans modified in a TDR.</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4"/>
          </w:tcPr>
          <w:p>
            <w:pPr>
              <w:ind w:left="380"/>
              <w:spacing w:after="0"/>
              <w:rPr>
                <w:sz w:val="20"/>
                <w:szCs w:val="20"/>
                <w:color w:val="auto"/>
              </w:rPr>
            </w:pPr>
            <w:r>
              <w:rPr>
                <w:rFonts w:ascii="Arial" w:cs="Arial" w:eastAsia="Arial" w:hAnsi="Arial"/>
                <w:sz w:val="18"/>
                <w:szCs w:val="18"/>
                <w:color w:val="auto"/>
                <w:w w:val="99"/>
              </w:rPr>
              <w:t>(Dollars in thousands)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31,276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(2,517)</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30,985</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Accretable yield</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(9,884)</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(7,527)</w:t>
            </w:r>
          </w:p>
        </w:tc>
      </w:tr>
      <w:tr>
        <w:trPr>
          <w:trHeight w:val="25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 and 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As of and for the</w:t>
            </w:r>
          </w:p>
        </w:tc>
      </w:tr>
      <w:tr>
        <w:trPr>
          <w:trHeight w:val="216"/>
        </w:trPr>
        <w:tc>
          <w:tcPr>
            <w:tcW w:w="57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30, 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6"/>
          </w:tcPr>
          <w:p>
            <w:pPr>
              <w:ind w:left="72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6,826</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4"/>
          </w:tcPr>
          <w:p>
            <w:pPr>
              <w:ind w:left="380"/>
              <w:spacing w:after="0"/>
              <w:rPr>
                <w:sz w:val="20"/>
                <w:szCs w:val="20"/>
                <w:color w:val="auto"/>
              </w:rPr>
            </w:pPr>
            <w:r>
              <w:rPr>
                <w:rFonts w:ascii="Arial" w:cs="Arial" w:eastAsia="Arial" w:hAnsi="Arial"/>
                <w:sz w:val="18"/>
                <w:szCs w:val="18"/>
                <w:color w:val="auto"/>
                <w:w w:val="97"/>
              </w:rPr>
              <w:t>(Dollars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111,449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7,527</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(4,652)</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(1,105)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(4,255)</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(5,883)</w:t>
            </w:r>
          </w:p>
        </w:tc>
      </w:tr>
      <w:tr>
        <w:trPr>
          <w:trHeight w:val="210"/>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124,023</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109,615</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June 30, 2016 (1)</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ind w:left="46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265,571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267,985</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3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234,076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237,054</w:t>
            </w:r>
          </w:p>
        </w:tc>
      </w:tr>
    </w:tbl>
    <w:p>
      <w:pPr>
        <w:spacing w:after="0" w:line="187" w:lineRule="exact"/>
        <w:rPr>
          <w:sz w:val="20"/>
          <w:szCs w:val="20"/>
          <w:color w:val="auto"/>
        </w:rPr>
      </w:pPr>
    </w:p>
    <w:p>
      <w:pPr>
        <w:ind w:left="5620" w:right="3040" w:hanging="4964"/>
        <w:spacing w:after="0" w:line="810" w:lineRule="auto"/>
        <w:tabs>
          <w:tab w:leader="none" w:pos="977"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Balances include loans held for sale of $789 thousand at September 30, 2016 and $0 at June 30, 2016.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Capitalized servicing rights as of September 30, 2016 totaled $2.2 million, compared to $1.8 million as of June 30, 2016, included in other assets on the consolidated balance sheets.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Mortgage loans sold in the quarter ended September 30, 2016 totaled $25.0 million, compared to $28.9 million in the quarter ended September 30, 2015. Mortgage loans serviced for others totaled $12.5 million at September 30, 2016 and $12.9 million at June 30, 2016. Additionally, the Company was servicing commercial loans participated out to various other institutions amounting to $33.2 million and $35.9 million at September 30, 2016 and June 30, 2016, respectively.</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SBA loans sold during the quarter ended September 30, 2016 totaled $7.4 million, compared to $5.5 million in the quarter September 30, 2015. SBA loans serviced for others totaled $103.6 million at September 30, 2016 and $80.8 million at June 30, 2016.</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Contractually specified servicing fees were $160 thousand and $149 thousand for the quarters ended September 30, 2016 and 2015, respectively, and were included as a component of loan related fees within non-interest income.</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significant assumptions used in the valuation for mortgage servicing rights as of September 30, 2016 included a weighted average discount rate of 5.5% and a weighted average prepayment speed assumption of 18.7%. For the SBA servicing rights, the significant assumptions used in the valuation included a range of discount rates from 8.5% to 14.1% and a weighted average prepayment speed assumption of 7.7%</w:t>
      </w:r>
    </w:p>
    <w:p>
      <w:pPr>
        <w:spacing w:after="0" w:line="16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dividends or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income available to common shareholders</w:t>
      </w:r>
    </w:p>
    <w:p>
      <w:pPr>
        <w:spacing w:after="0" w:line="225" w:lineRule="exact"/>
        <w:rPr>
          <w:sz w:val="20"/>
          <w:szCs w:val="20"/>
          <w:color w:val="auto"/>
        </w:rPr>
      </w:pPr>
    </w:p>
    <w:p>
      <w:pPr>
        <w:ind w:left="180" w:right="320" w:hanging="161"/>
        <w:spacing w:after="0" w:line="317" w:lineRule="auto"/>
        <w:rPr>
          <w:sz w:val="20"/>
          <w:szCs w:val="20"/>
          <w:color w:val="auto"/>
        </w:rPr>
      </w:pPr>
      <w:r>
        <w:rPr>
          <w:rFonts w:ascii="Arial" w:cs="Arial" w:eastAsia="Arial" w:hAnsi="Arial"/>
          <w:sz w:val="16"/>
          <w:szCs w:val="16"/>
          <w:color w:val="auto"/>
        </w:rPr>
        <w:t>Weighted average shares used in calculation of basic EPS Incremental shares from assumed exercise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57975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579755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Weighted average shares used in calculation of diluted EPS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p>
      <w:pPr>
        <w:ind w:left="600"/>
        <w:spacing w:after="0"/>
        <w:tabs>
          <w:tab w:leader="none" w:pos="230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2084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jc w:val="center"/>
        <w:ind w:right="2320"/>
        <w:spacing w:after="0"/>
        <w:rPr>
          <w:sz w:val="20"/>
          <w:szCs w:val="20"/>
          <w:color w:val="auto"/>
        </w:rPr>
      </w:pPr>
      <w:r>
        <w:rPr>
          <w:rFonts w:ascii="Arial" w:cs="Arial" w:eastAsia="Arial" w:hAnsi="Arial"/>
          <w:sz w:val="16"/>
          <w:szCs w:val="16"/>
          <w:color w:val="auto"/>
        </w:rPr>
        <w:t>(Dollars in thousands, except share and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2084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6"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1,751</w:t>
            </w:r>
          </w:p>
        </w:tc>
        <w:tc>
          <w:tcPr>
            <w:tcW w:w="60" w:type="dxa"/>
            <w:vAlign w:val="bottom"/>
          </w:tcPr>
          <w:p>
            <w:pPr>
              <w:spacing w:after="0"/>
              <w:rPr>
                <w:sz w:val="18"/>
                <w:szCs w:val="18"/>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1,867</w:t>
            </w:r>
          </w:p>
        </w:tc>
      </w:tr>
      <w:tr>
        <w:trPr>
          <w:trHeight w:val="230"/>
        </w:trPr>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0" w:type="dxa"/>
            <w:vAlign w:val="bottom"/>
          </w:tcPr>
          <w:p>
            <w:pPr>
              <w:spacing w:after="0"/>
              <w:rPr>
                <w:sz w:val="18"/>
                <w:szCs w:val="18"/>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9,106,144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9,562,812</w:t>
            </w:r>
          </w:p>
        </w:tc>
      </w:tr>
      <w:tr>
        <w:trPr>
          <w:trHeight w:val="230"/>
        </w:trPr>
        <w:tc>
          <w:tcPr>
            <w:tcW w:w="46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27,239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9,133,383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9,562,812</w:t>
            </w:r>
          </w:p>
        </w:tc>
        <w:tc>
          <w:tcPr>
            <w:tcW w:w="20" w:type="dxa"/>
            <w:vAlign w:val="bottom"/>
          </w:tcPr>
          <w:p>
            <w:pPr>
              <w:spacing w:after="0"/>
              <w:rPr>
                <w:sz w:val="18"/>
                <w:szCs w:val="18"/>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0.19</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r>
      <w:tr>
        <w:trPr>
          <w:trHeight w:val="230"/>
        </w:trPr>
        <w:tc>
          <w:tcPr>
            <w:tcW w:w="46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r>
    </w:tbl>
    <w:p>
      <w:pPr>
        <w:spacing w:after="0" w:line="200" w:lineRule="exact"/>
        <w:rPr>
          <w:sz w:val="20"/>
          <w:szCs w:val="20"/>
          <w:color w:val="auto"/>
        </w:rPr>
      </w:pPr>
    </w:p>
    <w:p>
      <w:pPr>
        <w:sectPr>
          <w:pgSz w:w="11900" w:h="16838" w:orient="portrait"/>
          <w:cols w:equalWidth="0" w:num="2">
            <w:col w:w="5060" w:space="720"/>
            <w:col w:w="5600"/>
          </w:cols>
          <w:pgMar w:left="240" w:top="118" w:right="279" w:bottom="1440" w:gutter="0" w:footer="0" w:header="0"/>
          <w:type w:val="continuous"/>
        </w:sect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September 30, 2016 and 2015,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39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714,545</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980,269</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September 30, 2016, the Company had posted cash collateral totaling $3.1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3"/>
              </w:rPr>
              <w:t>Inception</w:t>
            </w:r>
          </w:p>
        </w:tc>
        <w:tc>
          <w:tcPr>
            <w:tcW w:w="116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2"/>
              </w:rPr>
              <w:t>Termination</w:t>
            </w: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190"/>
              <w:spacing w:after="0" w:line="195" w:lineRule="exact"/>
              <w:rPr>
                <w:sz w:val="20"/>
                <w:szCs w:val="20"/>
                <w:color w:val="auto"/>
              </w:rPr>
            </w:pPr>
            <w:r>
              <w:rPr>
                <w:rFonts w:ascii="Arial" w:cs="Arial" w:eastAsia="Arial" w:hAnsi="Arial"/>
                <w:sz w:val="18"/>
                <w:szCs w:val="18"/>
                <w:color w:val="auto"/>
                <w:w w:val="89"/>
              </w:rPr>
              <w:t>Receive</w:t>
            </w: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1"/>
              </w:rPr>
              <w:t>Strike</w:t>
            </w:r>
          </w:p>
        </w:tc>
        <w:tc>
          <w:tcPr>
            <w:tcW w:w="102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Unrealized</w:t>
            </w: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Notional Amount</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Index</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Pay 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74"/>
              </w:rPr>
              <w:t>(Dollars in</w:t>
            </w:r>
          </w:p>
        </w:tc>
        <w:tc>
          <w:tcPr>
            <w:tcW w:w="10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July 2033</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0.85%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gridSpan w:val="3"/>
          </w:tcPr>
          <w:p>
            <w:pPr>
              <w:ind w:left="140"/>
              <w:spacing w:after="0"/>
              <w:rPr>
                <w:sz w:val="20"/>
                <w:szCs w:val="20"/>
                <w:color w:val="auto"/>
              </w:rPr>
            </w:pPr>
            <w:r>
              <w:rPr>
                <w:rFonts w:ascii="Arial" w:cs="Arial" w:eastAsia="Arial" w:hAnsi="Arial"/>
                <w:sz w:val="18"/>
                <w:szCs w:val="18"/>
                <w:color w:val="auto"/>
                <w:w w:val="94"/>
              </w:rPr>
              <w:t>(1,314) 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2023</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0.85%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October 2014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vMerge w:val="restart"/>
          </w:tcPr>
          <w:p>
            <w:pPr>
              <w:ind w:left="48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3"/>
                <w:szCs w:val="2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3"/>
                <w:szCs w:val="23"/>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Other Assets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March 2015</w:t>
            </w:r>
          </w:p>
        </w:tc>
        <w:tc>
          <w:tcPr>
            <w:tcW w:w="11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1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7"/>
              </w:rPr>
              <w:t>3 Mo. LIBOR</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Other Assets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(2,729)</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4"/>
            <w:vMerge w:val="restart"/>
          </w:tcPr>
          <w:p>
            <w:pPr>
              <w:jc w:val="right"/>
              <w:ind w:right="980"/>
              <w:spacing w:after="0"/>
              <w:rPr>
                <w:sz w:val="20"/>
                <w:szCs w:val="20"/>
                <w:color w:val="auto"/>
              </w:rPr>
            </w:pPr>
            <w:r>
              <w:rPr>
                <w:rFonts w:ascii="Arial" w:cs="Arial" w:eastAsia="Arial" w:hAnsi="Arial"/>
                <w:sz w:val="18"/>
                <w:szCs w:val="18"/>
                <w:color w:val="auto"/>
                <w:w w:val="99"/>
              </w:rPr>
              <w:t>June 30, 2016</w:t>
            </w: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3"/>
              </w:rPr>
              <w:t>Inception</w:t>
            </w:r>
          </w:p>
        </w:tc>
        <w:tc>
          <w:tcPr>
            <w:tcW w:w="11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2"/>
              </w:rPr>
              <w:t>Termination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90"/>
              <w:spacing w:after="0" w:line="195" w:lineRule="exact"/>
              <w:rPr>
                <w:sz w:val="20"/>
                <w:szCs w:val="20"/>
                <w:color w:val="auto"/>
              </w:rPr>
            </w:pPr>
            <w:r>
              <w:rPr>
                <w:rFonts w:ascii="Arial" w:cs="Arial" w:eastAsia="Arial" w:hAnsi="Arial"/>
                <w:sz w:val="18"/>
                <w:szCs w:val="18"/>
                <w:color w:val="auto"/>
                <w:w w:val="89"/>
              </w:rPr>
              <w:t>Receive</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1"/>
              </w:rPr>
              <w:t>Strike</w:t>
            </w:r>
          </w:p>
        </w:tc>
        <w:tc>
          <w:tcPr>
            <w:tcW w:w="102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Unrealized</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Notional Amount</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Index</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Pay 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74"/>
              </w:rPr>
              <w:t>(Dollars in</w:t>
            </w:r>
          </w:p>
        </w:tc>
        <w:tc>
          <w:tcPr>
            <w:tcW w:w="10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July 2033</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0.65%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gridSpan w:val="3"/>
          </w:tcPr>
          <w:p>
            <w:pPr>
              <w:ind w:left="140"/>
              <w:spacing w:after="0"/>
              <w:rPr>
                <w:sz w:val="20"/>
                <w:szCs w:val="20"/>
                <w:color w:val="auto"/>
              </w:rPr>
            </w:pPr>
            <w:r>
              <w:rPr>
                <w:rFonts w:ascii="Arial" w:cs="Arial" w:eastAsia="Arial" w:hAnsi="Arial"/>
                <w:sz w:val="18"/>
                <w:szCs w:val="18"/>
                <w:color w:val="auto"/>
                <w:w w:val="94"/>
              </w:rPr>
              <w:t>(1,352) 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2023</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0.65%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October 2014</w:t>
            </w:r>
          </w:p>
        </w:tc>
        <w:tc>
          <w:tcPr>
            <w:tcW w:w="11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7"/>
              </w:rPr>
              <w:t>3 Mo. LIBOR</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Other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March 2015</w:t>
            </w:r>
          </w:p>
        </w:tc>
        <w:tc>
          <w:tcPr>
            <w:tcW w:w="11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1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7"/>
              </w:rPr>
              <w:t>3 Mo. LIBOR</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Other Assets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(2,882)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September 30, 2016 and 2015,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months ended September 30, 2016 and 2015 related to the balance sheet hedging of variable rate debt indicates that the hedges were effective.</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8" w:right="239" w:bottom="0" w:gutter="0" w:footer="0" w:header="0"/>
          <w:type w:val="continuous"/>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8. Other Comprehensive Income</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80" w:type="dxa"/>
            <w:vAlign w:val="bottom"/>
            <w:gridSpan w:val="11"/>
          </w:tcPr>
          <w:p>
            <w:pPr>
              <w:spacing w:after="0"/>
              <w:rPr>
                <w:sz w:val="20"/>
                <w:szCs w:val="20"/>
                <w:color w:val="auto"/>
              </w:rPr>
            </w:pPr>
            <w:r>
              <w:rPr>
                <w:rFonts w:ascii="Arial" w:cs="Arial" w:eastAsia="Arial" w:hAnsi="Arial"/>
                <w:sz w:val="18"/>
                <w:szCs w:val="18"/>
                <w:color w:val="auto"/>
              </w:rPr>
              <w:t>The components of other comprehensive income (loss) are as follows: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color w:val="auto"/>
                <w:w w:val="89"/>
              </w:rPr>
              <w:t>Three Months Ended September 30,</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Pre-tax</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flow hedges</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7"/>
              </w:rPr>
              <w:t>Reclassification adjustment for net gains</w:t>
            </w:r>
          </w:p>
        </w:tc>
        <w:tc>
          <w:tcPr>
            <w:tcW w:w="88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included in net income</w:t>
            </w:r>
          </w:p>
        </w:tc>
        <w:tc>
          <w:tcPr>
            <w:tcW w:w="8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4"/>
          </w:tcPr>
          <w:p>
            <w:pPr>
              <w:spacing w:after="0"/>
              <w:rPr>
                <w:sz w:val="20"/>
                <w:szCs w:val="20"/>
                <w:color w:val="auto"/>
              </w:rPr>
            </w:pPr>
            <w:r>
              <w:rPr>
                <w:rFonts w:ascii="Arial" w:cs="Arial" w:eastAsia="Arial" w:hAnsi="Arial"/>
                <w:sz w:val="18"/>
                <w:szCs w:val="18"/>
                <w:color w:val="auto"/>
              </w:rPr>
              <w:t>Total other comprehensive loss</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Accumulated other comprehensive loss is comprised of the following:</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2016</w:t>
            </w:r>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7"/>
          </w:tcPr>
          <w:p>
            <w:pPr>
              <w:jc w:val="right"/>
              <w:ind w:right="920"/>
              <w:spacing w:after="0"/>
              <w:rPr>
                <w:sz w:val="20"/>
                <w:szCs w:val="20"/>
                <w:color w:val="auto"/>
              </w:rPr>
            </w:pPr>
            <w:r>
              <w:rPr>
                <w:rFonts w:ascii="Arial" w:cs="Arial" w:eastAsia="Arial" w:hAnsi="Arial"/>
                <w:sz w:val="18"/>
                <w:szCs w:val="18"/>
                <w:color w:val="auto"/>
              </w:rPr>
              <w:t>(Dollars in thousands)</w:t>
            </w:r>
          </w:p>
        </w:tc>
        <w:tc>
          <w:tcPr>
            <w:tcW w:w="2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900" w:type="dxa"/>
            <w:vAlign w:val="bottom"/>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2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Net-of-tax amount</w:t>
            </w:r>
          </w:p>
        </w:tc>
        <w:tc>
          <w:tcPr>
            <w:tcW w:w="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(3,122)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(3,276)</w:t>
            </w:r>
          </w:p>
        </w:tc>
        <w:tc>
          <w:tcPr>
            <w:tcW w:w="2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80" w:type="dxa"/>
            <w:vAlign w:val="bottom"/>
            <w:tcBorders>
              <w:bottom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rPr>
              <w:t>Net-of-tax amount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(1,935)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(2,028)</w:t>
            </w:r>
          </w:p>
        </w:tc>
        <w:tc>
          <w:tcPr>
            <w:tcW w:w="23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r>
      <w:tr>
        <w:trPr>
          <w:trHeight w:val="65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00" w:type="dxa"/>
            <w:vAlign w:val="bottom"/>
            <w:gridSpan w:val="2"/>
          </w:tcPr>
          <w:p>
            <w:pPr>
              <w:jc w:val="right"/>
              <w:ind w:right="357"/>
              <w:spacing w:after="0"/>
              <w:rPr>
                <w:sz w:val="20"/>
                <w:szCs w:val="20"/>
                <w:color w:val="auto"/>
              </w:rPr>
            </w:pPr>
            <w:r>
              <w:rPr>
                <w:rFonts w:ascii="Arial" w:cs="Arial" w:eastAsia="Arial" w:hAnsi="Arial"/>
                <w:sz w:val="18"/>
                <w:szCs w:val="18"/>
                <w:color w:val="auto"/>
              </w:rPr>
              <w:t>22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2016</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5"/>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1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44,684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58,635</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58,412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80" w:type="dxa"/>
            <w:vAlign w:val="bottom"/>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$56 thousand and $81 thousand recorded in other liabilities at September 30, 2016 and June 30, 2016, respectively.</w:t>
      </w:r>
    </w:p>
    <w:p>
      <w:pPr>
        <w:spacing w:after="0" w:line="16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committed $2.5 million to a fund that acquires CRA qualified investments in loans for the Company’s portfolio. The Fund Manager will call the funds from the Company when an investment is successfully acquired. Through the three months ended September 30, 2016, the fund has not called any funds from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200" w:lineRule="exact"/>
        <w:rPr>
          <w:sz w:val="20"/>
          <w:szCs w:val="20"/>
          <w:color w:val="auto"/>
        </w:rPr>
      </w:pPr>
    </w:p>
    <w:p>
      <w:pPr>
        <w:spacing w:after="0" w:line="213" w:lineRule="exact"/>
        <w:rPr>
          <w:sz w:val="20"/>
          <w:szCs w:val="20"/>
          <w:color w:val="auto"/>
        </w:rPr>
      </w:pPr>
    </w:p>
    <w:p>
      <w:pPr>
        <w:ind w:left="280" w:hanging="273"/>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share activity for the quarter ended September 30, 2016 follows: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r>
      <w:tr>
        <w:trPr>
          <w:trHeight w:val="216"/>
        </w:trPr>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Grant Date Fair</w:t>
            </w:r>
          </w:p>
        </w:tc>
      </w:tr>
      <w:tr>
        <w:trPr>
          <w:trHeight w:val="230"/>
        </w:trPr>
        <w:tc>
          <w:tcPr>
            <w:tcW w:w="5760" w:type="dxa"/>
            <w:vAlign w:val="bottom"/>
          </w:tcPr>
          <w:p>
            <w:pPr>
              <w:spacing w:after="0"/>
              <w:rPr>
                <w:sz w:val="20"/>
                <w:szCs w:val="20"/>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251,859</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11.20</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9.47</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410,859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schedule for the shares granted in the quarter ended September 30, 2016 follows:</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15,000 restricted shares vest in full on August 25, 2019;</w:t>
      </w:r>
    </w:p>
    <w:p>
      <w:pPr>
        <w:spacing w:after="0" w:line="9"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50,000 restricted shares are subject to performance-based vesting over a three year period (the “performance shares”). The performance shares include an absolute metric and a sliding metric within the performance period. The absolute metric requires that the Company be in compliance with the regulatory commitments made to the Federal Reserve Bank and Maine Bureau of Financial Institutions. The sliding metric is based on reaching certain thresholds in regards to the company’s return on equity (“ROE”). The performance shares shall vest in certain defined increments for such periods if the ROE is at least 70% of such targeted returns. This performance will be measured on both a year-by-year basis for three years, and an average basis over the three year performance period; and,</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95,000 restricted shares vest in three equal installments, commencing on August 25, 2019.</w:t>
      </w:r>
    </w:p>
    <w:p>
      <w:pPr>
        <w:sectPr>
          <w:pgSz w:w="11900" w:h="16838" w:orient="portrait"/>
          <w:cols w:equalWidth="0" w:num="1">
            <w:col w:w="11400"/>
          </w:cols>
          <w:pgMar w:left="240" w:top="118" w:right="259" w:bottom="838"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838"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382"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00" w:lineRule="exact"/>
        <w:rPr>
          <w:sz w:val="20"/>
          <w:szCs w:val="20"/>
          <w:color w:val="auto"/>
        </w:rPr>
      </w:pPr>
    </w:p>
    <w:p>
      <w:pPr>
        <w:spacing w:after="0" w:line="24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60"/>
        <w:spacing w:after="0" w:line="286" w:lineRule="auto"/>
        <w:rPr>
          <w:sz w:val="20"/>
          <w:szCs w:val="20"/>
          <w:color w:val="auto"/>
        </w:rPr>
      </w:pPr>
      <w:r>
        <w:rPr>
          <w:rFonts w:ascii="Arial" w:cs="Arial" w:eastAsia="Arial" w:hAnsi="Arial"/>
          <w:sz w:val="17"/>
          <w:szCs w:val="17"/>
          <w:color w:val="auto"/>
        </w:rPr>
        <w:t>Certain investments are measured at fair value using the net asset value per share as a practical expedient. The fund seeks to invest in securities either issued or guaranteed by the U.S. government or its agencies. The Company’s investments can be redeemed daily at the closing net asset value per share. In accordance with ASU 2015-07, these investments have not been included in the fair value hierarchy.</w:t>
      </w:r>
    </w:p>
    <w:p>
      <w:pPr>
        <w:spacing w:after="0" w:line="166" w:lineRule="exact"/>
        <w:rPr>
          <w:sz w:val="20"/>
          <w:szCs w:val="20"/>
          <w:color w:val="auto"/>
        </w:rPr>
      </w:pPr>
    </w:p>
    <w:p>
      <w:pPr>
        <w:ind w:left="500" w:right="12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389"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i w:val="1"/>
          <w:iCs w:val="1"/>
          <w:color w:val="auto"/>
        </w:rPr>
        <w:t>Collateral Dependent Impaired Loans</w:t>
      </w:r>
      <w:r>
        <w:rPr>
          <w:rFonts w:ascii="Arial" w:cs="Arial" w:eastAsia="Arial" w:hAnsi="Arial"/>
          <w:sz w:val="18"/>
          <w:szCs w:val="18"/>
          <w:color w:val="auto"/>
        </w:rPr>
        <w:t>- Valuations of impaired loans measured at fair value are determined by a review of collateral values.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inputs used in appraisals are not always observable, and therefore impaired loans are generally categorized as Level 3 within the fair value hierarchy.</w:t>
      </w:r>
    </w:p>
    <w:p>
      <w:pPr>
        <w:spacing w:after="0" w:line="18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Loan servicing rights— </w:t>
      </w:r>
      <w:r>
        <w:rPr>
          <w:rFonts w:ascii="Arial" w:cs="Arial" w:eastAsia="Arial" w:hAnsi="Arial"/>
          <w:sz w:val="18"/>
          <w:szCs w:val="18"/>
          <w:color w:val="auto"/>
        </w:rPr>
        <w:t>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54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right="480"/>
        <w:spacing w:after="0" w:line="308" w:lineRule="auto"/>
        <w:rPr>
          <w:sz w:val="20"/>
          <w:szCs w:val="20"/>
          <w:color w:val="auto"/>
        </w:rPr>
      </w:pPr>
      <w:r>
        <w:rPr>
          <w:rFonts w:ascii="Arial" w:cs="Arial" w:eastAsia="Arial" w:hAnsi="Arial"/>
          <w:sz w:val="17"/>
          <w:szCs w:val="17"/>
          <w:i w:val="1"/>
          <w:iCs w:val="1"/>
          <w:color w:val="auto"/>
        </w:rPr>
        <w:t xml:space="preserve">Accrued Interest receivable </w:t>
      </w:r>
      <w:r>
        <w:rPr>
          <w:rFonts w:ascii="Arial" w:cs="Arial" w:eastAsia="Arial" w:hAnsi="Arial"/>
          <w:sz w:val="17"/>
          <w:szCs w:val="17"/>
          <w:color w:val="auto"/>
        </w:rPr>
        <w:t>- The fair value of this financial instrument approximates the book value. It is the Company’s policy to stop accruing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loans past due by more than 90 days. Therefore, this financial instrument has been adjusted for estimated credit loss.</w:t>
      </w:r>
    </w:p>
    <w:p>
      <w:pPr>
        <w:spacing w:after="0" w:line="147"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 The fair value of the Company’s borrowings with the FHLBB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7"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Off-Balance Sheet Credit-Related Instruments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September 30, 2016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40,571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40,571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investment measured at net asset value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2,754</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2016</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43,368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investment measured at net asset value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right="600" w:hanging="328"/>
        <w:spacing w:after="0" w:line="209" w:lineRule="auto"/>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8"/>
              </w:rPr>
              <w:t>September 30, 2016</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(Dollars in</w:t>
            </w:r>
          </w:p>
        </w:tc>
        <w:tc>
          <w:tcPr>
            <w:tcW w:w="180" w:type="dxa"/>
            <w:vAlign w:val="bottom"/>
            <w:gridSpan w:val="2"/>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1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1,743</w:t>
            </w: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1,743</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w w:val="93"/>
              </w:rPr>
              <w:t>Real estate owned and other repossessed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collateral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3,774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3,774</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2,174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w:t>
            </w:r>
          </w:p>
        </w:tc>
      </w:tr>
      <w:tr>
        <w:trPr>
          <w:trHeight w:val="486"/>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7"/>
              </w:rPr>
              <w:t>June 30, 2016</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(Dollars in</w:t>
            </w:r>
          </w:p>
        </w:tc>
        <w:tc>
          <w:tcPr>
            <w:tcW w:w="180" w:type="dxa"/>
            <w:vAlign w:val="bottom"/>
            <w:gridSpan w:val="2"/>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1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w w:val="93"/>
              </w:rPr>
              <w:t>Real estate owned and other repossessed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collateral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1,652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1,771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1,771</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19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September 30,</w:t>
            </w:r>
          </w:p>
        </w:tc>
        <w:tc>
          <w:tcPr>
            <w:tcW w:w="360" w:type="dxa"/>
            <w:vAlign w:val="bottom"/>
          </w:tcPr>
          <w:p>
            <w:pPr>
              <w:spacing w:after="0"/>
              <w:rPr>
                <w:sz w:val="16"/>
                <w:szCs w:val="16"/>
                <w:color w:val="auto"/>
              </w:rPr>
            </w:pPr>
          </w:p>
        </w:tc>
        <w:tc>
          <w:tcPr>
            <w:tcW w:w="112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230"/>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5"/>
          </w:tcPr>
          <w:p>
            <w:pPr>
              <w:jc w:val="right"/>
              <w:ind w:right="900"/>
              <w:spacing w:after="0"/>
              <w:rPr>
                <w:sz w:val="20"/>
                <w:szCs w:val="20"/>
                <w:color w:val="auto"/>
              </w:rPr>
            </w:pPr>
            <w:r>
              <w:rPr>
                <w:rFonts w:ascii="Arial" w:cs="Arial" w:eastAsia="Arial" w:hAnsi="Arial"/>
                <w:sz w:val="18"/>
                <w:szCs w:val="18"/>
                <w:color w:val="auto"/>
              </w:rPr>
              <w:t>(Dollars in thousands)</w:t>
            </w:r>
          </w:p>
        </w:tc>
        <w:tc>
          <w:tcPr>
            <w:tcW w:w="34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3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3,774</w:t>
            </w: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3440" w:type="dxa"/>
            <w:vAlign w:val="bottom"/>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2,174</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c>
          <w:tcPr>
            <w:tcW w:w="3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Discounted cash flow</w:t>
            </w:r>
            <w:r>
              <w:rPr>
                <w:rFonts w:ascii="Arial" w:cs="Arial" w:eastAsia="Arial" w:hAnsi="Arial"/>
                <w:sz w:val="25"/>
                <w:szCs w:val="25"/>
                <w:color w:val="auto"/>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6% to 71%.</w:t>
      </w:r>
    </w:p>
    <w:p>
      <w:pPr>
        <w:ind w:right="30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7.7% to 18.7%. For discount rates, the range was 5.5% to 14.1%.</w:t>
      </w:r>
    </w:p>
    <w:p>
      <w:pPr>
        <w:sectPr>
          <w:pgSz w:w="11900" w:h="16838" w:orient="portrait"/>
          <w:cols w:equalWidth="0" w:num="1">
            <w:col w:w="11420"/>
          </w:cols>
          <w:pgMar w:left="240" w:top="118" w:right="239" w:bottom="19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9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rPr>
              <w:t>Fair Value Measurements at September 30, 2016</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126,249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126,249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126,249</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89,420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89,420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89,420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gridSpan w:val="3"/>
          </w:tcPr>
          <w:p>
            <w:pPr>
              <w:spacing w:after="0" w:line="178" w:lineRule="exact"/>
              <w:rPr>
                <w:sz w:val="20"/>
                <w:szCs w:val="20"/>
                <w:color w:val="auto"/>
              </w:rPr>
            </w:pPr>
            <w:r>
              <w:rPr>
                <w:rFonts w:ascii="Arial" w:cs="Arial" w:eastAsia="Arial" w:hAnsi="Arial"/>
                <w:sz w:val="18"/>
                <w:szCs w:val="18"/>
                <w:color w:val="auto"/>
                <w:w w:val="98"/>
              </w:rPr>
              <w:t>Other investment measured at net asset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200" w:type="dxa"/>
            <w:vAlign w:val="bottom"/>
            <w:gridSpan w:val="4"/>
          </w:tcPr>
          <w:p>
            <w:pPr>
              <w:spacing w:after="0" w:line="253" w:lineRule="exact"/>
              <w:rPr>
                <w:sz w:val="20"/>
                <w:szCs w:val="20"/>
                <w:color w:val="auto"/>
              </w:rPr>
            </w:pPr>
            <w:r>
              <w:rPr>
                <w:rFonts w:ascii="Arial" w:cs="Arial" w:eastAsia="Arial" w:hAnsi="Arial"/>
                <w:sz w:val="18"/>
                <w:szCs w:val="18"/>
                <w:color w:val="auto"/>
              </w:rPr>
              <w:t>value</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5,163</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7,253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7,253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718,912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805,409</w:t>
            </w: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806,325</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806,325</w:t>
            </w: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FHLBB advances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30,046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30,262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30,262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23,393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25,932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2,754</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2,754</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9"/>
          </w:tcPr>
          <w:p>
            <w:pPr>
              <w:ind w:left="960"/>
              <w:spacing w:after="0"/>
              <w:rPr>
                <w:sz w:val="20"/>
                <w:szCs w:val="20"/>
                <w:color w:val="auto"/>
              </w:rPr>
            </w:pPr>
            <w:r>
              <w:rPr>
                <w:rFonts w:ascii="Arial" w:cs="Arial" w:eastAsia="Arial" w:hAnsi="Arial"/>
                <w:sz w:val="18"/>
                <w:szCs w:val="18"/>
                <w:color w:val="auto"/>
                <w:w w:val="88"/>
              </w:rPr>
              <w:t>Fair Value Measurements at June 30, 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151,157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151,157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151,157</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95,414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95,414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gridSpan w:val="3"/>
          </w:tcPr>
          <w:p>
            <w:pPr>
              <w:spacing w:after="0" w:line="178" w:lineRule="exact"/>
              <w:rPr>
                <w:sz w:val="20"/>
                <w:szCs w:val="20"/>
                <w:color w:val="auto"/>
              </w:rPr>
            </w:pPr>
            <w:r>
              <w:rPr>
                <w:rFonts w:ascii="Arial" w:cs="Arial" w:eastAsia="Arial" w:hAnsi="Arial"/>
                <w:sz w:val="18"/>
                <w:szCs w:val="18"/>
                <w:color w:val="auto"/>
                <w:w w:val="98"/>
              </w:rPr>
              <w:t>Other investment measured at net asset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200" w:type="dxa"/>
            <w:vAlign w:val="bottom"/>
            <w:gridSpan w:val="4"/>
          </w:tcPr>
          <w:p>
            <w:pPr>
              <w:spacing w:after="0" w:line="253" w:lineRule="exact"/>
              <w:rPr>
                <w:sz w:val="20"/>
                <w:szCs w:val="20"/>
                <w:color w:val="auto"/>
              </w:rPr>
            </w:pPr>
            <w:r>
              <w:rPr>
                <w:rFonts w:ascii="Arial" w:cs="Arial" w:eastAsia="Arial" w:hAnsi="Arial"/>
                <w:sz w:val="18"/>
                <w:szCs w:val="18"/>
                <w:color w:val="auto"/>
              </w:rPr>
              <w:t>value</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5,158</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7,519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7,519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690,086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1,579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1,579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800,432</w:t>
            </w: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801,045</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801,045</w:t>
            </w: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FHLBB advances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30,075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30,396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23,331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25,664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2,917</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2,917</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line="209" w:lineRule="auto"/>
        <w:tabs>
          <w:tab w:leader="none" w:pos="66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0" w:lineRule="exact"/>
        <w:rPr>
          <w:sz w:val="20"/>
          <w:szCs w:val="20"/>
          <w:color w:val="auto"/>
        </w:rPr>
      </w:pP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20"/>
          </w:cols>
          <w:pgMar w:left="240" w:top="118" w:right="8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2016,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of the company's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2016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September 30, 2016 follow: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Condition</w:t>
            </w:r>
          </w:p>
        </w:tc>
        <w:tc>
          <w:tcPr>
            <w:tcW w:w="80" w:type="dxa"/>
            <w:vAlign w:val="bottom"/>
          </w:tcPr>
          <w:p>
            <w:pPr>
              <w:spacing w:after="0"/>
              <w:rPr>
                <w:sz w:val="20"/>
                <w:szCs w:val="20"/>
                <w:color w:val="auto"/>
              </w:rPr>
            </w:pPr>
          </w:p>
        </w:tc>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Ratios as of September 30, 2016</w:t>
            </w:r>
          </w:p>
        </w:tc>
        <w:tc>
          <w:tcPr>
            <w:tcW w:w="160" w:type="dxa"/>
            <w:vAlign w:val="bottom"/>
          </w:tcPr>
          <w:p>
            <w:pPr>
              <w:spacing w:after="0"/>
              <w:rPr>
                <w:sz w:val="20"/>
                <w:szCs w:val="20"/>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(ii) Total capital ratio</w:t>
            </w:r>
          </w:p>
        </w:tc>
        <w:tc>
          <w:tcPr>
            <w:tcW w:w="2680" w:type="dxa"/>
            <w:vAlign w:val="bottom"/>
            <w:gridSpan w:val="3"/>
          </w:tcPr>
          <w:p>
            <w:pPr>
              <w:jc w:val="right"/>
              <w:ind w:right="20"/>
              <w:spacing w:after="0"/>
              <w:rPr>
                <w:sz w:val="20"/>
                <w:szCs w:val="20"/>
                <w:color w:val="auto"/>
              </w:rPr>
            </w:pPr>
            <w:r>
              <w:rPr>
                <w:rFonts w:ascii="Arial" w:cs="Arial" w:eastAsia="Arial" w:hAnsi="Arial"/>
                <w:sz w:val="18"/>
                <w:szCs w:val="18"/>
                <w:color w:val="auto"/>
              </w:rPr>
              <w:t>18.82%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2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2680" w:type="dxa"/>
            <w:vAlign w:val="bottom"/>
            <w:gridSpan w:val="3"/>
          </w:tcPr>
          <w:p>
            <w:pPr>
              <w:jc w:val="right"/>
              <w:ind w:right="20"/>
              <w:spacing w:after="0"/>
              <w:rPr>
                <w:sz w:val="20"/>
                <w:szCs w:val="20"/>
                <w:color w:val="auto"/>
              </w:rPr>
            </w:pPr>
            <w:r>
              <w:rPr>
                <w:rFonts w:ascii="Arial" w:cs="Arial" w:eastAsia="Arial" w:hAnsi="Arial"/>
                <w:sz w:val="18"/>
                <w:szCs w:val="18"/>
                <w:color w:val="auto"/>
              </w:rPr>
              <w:t>90.22%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 Ratio of commercial real estate loans to total risk-based capital (2)</w:t>
            </w:r>
          </w:p>
        </w:tc>
        <w:tc>
          <w:tcPr>
            <w:tcW w:w="2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179.96%</w:t>
            </w:r>
          </w:p>
        </w:tc>
      </w:tr>
    </w:tbl>
    <w:p>
      <w:pPr>
        <w:spacing w:after="0" w:line="25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maturity deposits less than $250 thousand</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2016, the Company, on a consolidated basis, had total assets of $985.6 million, total deposits of $805.4 million, and shareholders’ equity of $111.6 million. The Company gathers retail deposits through its banking offices in Maine and the Bank's online affinity deposit program, ableBanking; originates loans through the Bank’s Community Banking Division; originates Small Business Administration (“SBA”) loans through the Bank’s national SBA group (“SBA Division”); and purchases and originates commercial loans through the LASG. The Community Banking Division, with ten full-service branches and two loan production offices, operates from the Bank’s headquarters in Lewiston, Maine. LASG, ableBanking, and the SBA Division operate from the Company's offices in Boston, Massachusetts.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Growing LASG’s national originated and purchased loan business. </w:t>
      </w:r>
      <w:r>
        <w:rPr>
          <w:rFonts w:ascii="Arial" w:cs="Arial" w:eastAsia="Arial" w:hAnsi="Arial"/>
          <w:sz w:val="18"/>
          <w:szCs w:val="18"/>
          <w:color w:val="auto"/>
        </w:rPr>
        <w:t>We purchase commercial real estate loans nationally, at prices that on average have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2016 to gain a better understanding of how Northeast’s financial performance is measured and reported. There has been no material change in critical accounting policies during the three months ended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income was $1.8 million, or $0.19 per diluted common share, for the quarter ended September 30, 2016, compared to $1.9 million, or $0.20 per diluted common share, for the quarter ended September 30, 2015.</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$534 thousand, or 5.8%, to $9.8 million for the quarter ended September 30, 2016 compared to the quarter ended September 30, 2015. The increase is primarily due to higher average balances in the total loan portfolio, offset by higher average deposit balances and the effect of the issuance of the subordinated debt.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Noninterest income increased by $103 thousand for the quarter ended September 30, 2016, compared to the quarter ended September 30, 2015, principally due to an increase in gains realized on sale of SBA loans.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Noninterest expense increased by $816 thousand for the quarter ended September 30, 2016, compared to the quarter ended September 30, 2015, primarily due to an increase in salaries and employee benefits of $1.1 million, largely attributable to higher employee headcount, increased incentive compensation, and the benefit recognized upon the forfeiture of stock awards in the quarter ended September 30,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assets decreased by $585 thousand, or 0.1%, to $985.6 million at September 30, 2016, compared to June 30, 2016. The principal components of the change in the balance sheet were as follows:</w:t>
      </w:r>
    </w:p>
    <w:p>
      <w:pPr>
        <w:spacing w:after="0" w:line="170" w:lineRule="exact"/>
        <w:rPr>
          <w:sz w:val="20"/>
          <w:szCs w:val="20"/>
          <w:color w:val="auto"/>
        </w:rPr>
      </w:pPr>
    </w:p>
    <w:p>
      <w:pPr>
        <w:ind w:left="460" w:right="360" w:hanging="222"/>
        <w:spacing w:after="0" w:line="28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loan portfolio – excluding loans held for sale – has grown by $29.0 million, or 4.2%, compared to June 30, 2016, principally on the strength of $28.5 million of net growth in commercial loans purchased or originated by the LASG and net growth of $5.1 million in originations by the SBA Division. This net growth was offset by a $4.6 million decrease in the Bank’s Community Banking Division loan portfolio.</w:t>
      </w:r>
    </w:p>
    <w:p>
      <w:pPr>
        <w:spacing w:after="0" w:line="165" w:lineRule="exact"/>
        <w:rPr>
          <w:rFonts w:ascii="Arial" w:cs="Arial" w:eastAsia="Arial" w:hAnsi="Arial"/>
          <w:sz w:val="17"/>
          <w:szCs w:val="17"/>
          <w:color w:val="auto"/>
        </w:rPr>
      </w:pPr>
    </w:p>
    <w:p>
      <w:pPr>
        <w:ind w:left="460" w:hanging="222"/>
        <w:spacing w:after="0" w:line="27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Loans generated by the LASG totaled $55.9 million for the quarter ended September 30, 2016. The growth in LASG loans consisted of $13.9 million of purchased loans, at an average price of 82.5% of unpaid principal balance, and $42.0 million of originated loans. SBA loans closed during the quarter totaled $15.2 million, of which $13.3 million were fully funded in the quarter. In addition, the Company sold $7.4 million of the guaranteed portion of SBA loans in the secondary market, of which $6.3 million were originated in the current quarter and $1.1 million were originated in prior quarters. Residential loan production sold in the secondary market totaled $25.0 million for the quarter.</w:t>
      </w:r>
    </w:p>
    <w:p>
      <w:pPr>
        <w:spacing w:after="0" w:line="173"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As noted above in the “</w:t>
      </w:r>
      <w:r>
        <w:rPr>
          <w:rFonts w:ascii="Arial" w:cs="Arial" w:eastAsia="Arial" w:hAnsi="Arial"/>
          <w:sz w:val="18"/>
          <w:szCs w:val="18"/>
          <w:i w:val="1"/>
          <w:iCs w:val="1"/>
          <w:color w:val="auto"/>
        </w:rPr>
        <w:t>Business Overview</w:t>
      </w:r>
      <w:r>
        <w:rPr>
          <w:rFonts w:ascii="Arial" w:cs="Arial" w:eastAsia="Arial" w:hAnsi="Arial"/>
          <w:sz w:val="18"/>
          <w:szCs w:val="18"/>
          <w:color w:val="auto"/>
        </w:rPr>
        <w:t>” section, the Company made certain commitments to the Board of Governors of the Federal Reserve System in connection with the merger of FHB Formation LLC with and into the Company in December 2010. The Company’s loan purchase and commercial real estate loan availability under these conditions follow.</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Basis for</w:t>
            </w:r>
          </w:p>
        </w:tc>
        <w:tc>
          <w:tcPr>
            <w:tcW w:w="2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Regulatory Condition</w:t>
            </w:r>
          </w:p>
        </w:tc>
        <w:tc>
          <w:tcPr>
            <w:tcW w:w="2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Condition</w:t>
            </w:r>
          </w:p>
        </w:tc>
        <w:tc>
          <w:tcPr>
            <w:tcW w:w="300" w:type="dxa"/>
            <w:vAlign w:val="bottom"/>
          </w:tcPr>
          <w:p>
            <w:pPr>
              <w:spacing w:after="0"/>
              <w:rPr>
                <w:sz w:val="20"/>
                <w:szCs w:val="20"/>
                <w:color w:val="auto"/>
              </w:rPr>
            </w:pP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Availability at September 30, 2016</w:t>
            </w:r>
          </w:p>
        </w:tc>
      </w:tr>
      <w:tr>
        <w:trPr>
          <w:trHeight w:val="210"/>
        </w:trPr>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(Dollars in millions)</w:t>
            </w:r>
          </w:p>
        </w:tc>
        <w:tc>
          <w:tcPr>
            <w:tcW w:w="2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18"/>
                <w:szCs w:val="18"/>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Regulatory Capital</w:t>
            </w:r>
          </w:p>
        </w:tc>
        <w:tc>
          <w:tcPr>
            <w:tcW w:w="200" w:type="dxa"/>
            <w:vAlign w:val="bottom"/>
          </w:tcPr>
          <w:p>
            <w:pPr>
              <w:spacing w:after="0"/>
              <w:rPr>
                <w:sz w:val="17"/>
                <w:szCs w:val="17"/>
                <w:color w:val="auto"/>
              </w:rPr>
            </w:pPr>
          </w:p>
        </w:tc>
        <w:tc>
          <w:tcPr>
            <w:tcW w:w="5400" w:type="dxa"/>
            <w:vAlign w:val="bottom"/>
          </w:tcPr>
          <w:p>
            <w:pPr>
              <w:spacing w:after="0" w:line="201" w:lineRule="exact"/>
              <w:rPr>
                <w:sz w:val="20"/>
                <w:szCs w:val="20"/>
                <w:color w:val="auto"/>
              </w:rPr>
            </w:pPr>
            <w:r>
              <w:rPr>
                <w:rFonts w:ascii="Arial" w:cs="Arial" w:eastAsia="Arial" w:hAnsi="Arial"/>
                <w:sz w:val="18"/>
                <w:szCs w:val="18"/>
                <w:color w:val="auto"/>
                <w:w w:val="92"/>
              </w:rPr>
              <w:t>Non-owner occupied commercial real estate loans may not exceed 300%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of total capital</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165.8</w:t>
            </w:r>
          </w:p>
        </w:tc>
      </w:tr>
      <w:tr>
        <w:trPr>
          <w:trHeight w:val="216"/>
        </w:trPr>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Bank’s LASG portfolio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color w:val="auto"/>
              </w:rPr>
              <w:t>LASG Portfolio</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8"/>
          </w:tcPr>
          <w:p>
            <w:pPr>
              <w:ind w:left="800"/>
              <w:spacing w:after="0"/>
              <w:rPr>
                <w:sz w:val="20"/>
                <w:szCs w:val="20"/>
                <w:color w:val="auto"/>
              </w:rPr>
            </w:pPr>
            <w:r>
              <w:rPr>
                <w:rFonts w:ascii="Arial" w:cs="Arial" w:eastAsia="Arial" w:hAnsi="Arial"/>
                <w:sz w:val="18"/>
                <w:szCs w:val="18"/>
                <w:color w:val="auto"/>
                <w:w w:val="95"/>
              </w:rPr>
              <w:t>Three Months Ended September 30,</w:t>
            </w: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line="195" w:lineRule="exact"/>
              <w:rPr>
                <w:sz w:val="20"/>
                <w:szCs w:val="20"/>
                <w:color w:val="auto"/>
              </w:rPr>
            </w:pPr>
            <w:r>
              <w:rPr>
                <w:rFonts w:ascii="Arial" w:cs="Arial" w:eastAsia="Arial" w:hAnsi="Arial"/>
                <w:sz w:val="18"/>
                <w:szCs w:val="18"/>
                <w:color w:val="auto"/>
              </w:rPr>
              <w:t>Secured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line="195" w:lineRule="exact"/>
              <w:rPr>
                <w:sz w:val="20"/>
                <w:szCs w:val="20"/>
                <w:color w:val="auto"/>
              </w:rPr>
            </w:pPr>
            <w:r>
              <w:rPr>
                <w:rFonts w:ascii="Arial" w:cs="Arial" w:eastAsia="Arial" w:hAnsi="Arial"/>
                <w:sz w:val="18"/>
                <w:szCs w:val="18"/>
                <w:color w:val="auto"/>
              </w:rPr>
              <w:t>Secured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Loans to</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Loans to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w w:val="92"/>
              </w:rPr>
              <w:t>Purchased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8"/>
                <w:szCs w:val="18"/>
                <w:color w:val="auto"/>
              </w:rPr>
              <w:t>Broker-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8"/>
                <w:szCs w:val="18"/>
                <w:color w:val="auto"/>
              </w:rPr>
              <w:t>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Dealers</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w w:val="92"/>
              </w:rPr>
              <w:t>Purchased</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color w:val="auto"/>
              </w:rPr>
              <w:t>Dealers</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6"/>
              </w:rPr>
              <w:t>originated during the period: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16,790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42,002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58,792</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23,583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10,941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42,002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55,855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23,458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10,941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loans as of period end: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269,462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206,748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48,000</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524,210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249,229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119,732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60,000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237,103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206,748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491,851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214,199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119,732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393,931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Purchased loan balances include loans held for sale of $789 thousand.</w:t>
      </w:r>
    </w:p>
    <w:p>
      <w:pPr>
        <w:spacing w:after="0" w:line="23" w:lineRule="exact"/>
        <w:rPr>
          <w:rFonts w:ascii="Arial" w:cs="Arial" w:eastAsia="Arial" w:hAnsi="Arial"/>
          <w:sz w:val="18"/>
          <w:szCs w:val="18"/>
          <w:color w:val="auto"/>
        </w:rPr>
      </w:pPr>
    </w:p>
    <w:p>
      <w:pPr>
        <w:ind w:right="300" w:firstLine="8"/>
        <w:spacing w:after="0" w:line="277"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total return on purchased loans represents scheduled accretion, accelerated accretion, gains on asset sales, and other noninterest income recorded during the period divided by the average invested balance, which includes loans held for sale, on an annualized basis. The total return does not include the effect of purchased loan charge-offs or recoveries in the quarter. The total return presented is a non-GAAP measure.</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and short-term investments were $126.2 million as of September 30, 2016, a decrease of $24.9 million, or 16.5%, from $151.2 million at June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due to the increase in loans, offset by the increase in deposits in the period.</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Available-for-sale securities totaled $94.6 million as of September 30, 2016, compared to $100.6 million as of June 30, 2016, representing a decrease of $6.0 million, or 6.0% due to the maturity of securities issued by government agencies as well as principal payments on mortgage backed securities. Included in available-for-sale securities are securities issued by government agencies and government-sponsored enterprises, as well as an investment of approximately $5.2 million in a CRA qualified fund that seeks to invest in securities either issued or guaranteed by the U.S. government or its agencies. At September 30, 2016, no securities were pledged for outstanding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September 30, 2016</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3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60"/>
              <w:spacing w:after="0" w:line="195" w:lineRule="exact"/>
              <w:rPr>
                <w:sz w:val="20"/>
                <w:szCs w:val="20"/>
                <w:color w:val="auto"/>
              </w:rPr>
            </w:pPr>
            <w:r>
              <w:rPr>
                <w:rFonts w:ascii="Arial" w:cs="Arial" w:eastAsia="Arial" w:hAnsi="Arial"/>
                <w:sz w:val="18"/>
                <w:szCs w:val="18"/>
                <w:color w:val="auto"/>
                <w:w w:val="94"/>
              </w:rPr>
              <w:t>Community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Banking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230"/>
        </w:trPr>
        <w:tc>
          <w:tcPr>
            <w:tcW w:w="3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8"/>
              </w:rPr>
              <w:t>Division</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LASG</w:t>
            </w:r>
          </w:p>
        </w:tc>
        <w:tc>
          <w:tcPr>
            <w:tcW w:w="16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SBA Division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0"/>
                <w:szCs w:val="20"/>
                <w:color w:val="auto"/>
              </w:rPr>
            </w:pPr>
          </w:p>
        </w:tc>
      </w:tr>
      <w:tr>
        <w:trPr>
          <w:trHeight w:val="210"/>
        </w:trPr>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6"/>
          </w:tcPr>
          <w:p>
            <w:pPr>
              <w:spacing w:after="0"/>
              <w:rPr>
                <w:sz w:val="20"/>
                <w:szCs w:val="20"/>
                <w:color w:val="auto"/>
              </w:rPr>
            </w:pPr>
            <w:r>
              <w:rPr>
                <w:rFonts w:ascii="Arial" w:cs="Arial" w:eastAsia="Arial" w:hAnsi="Arial"/>
                <w:sz w:val="18"/>
                <w:szCs w:val="18"/>
                <w:color w:val="auto"/>
                <w:w w:val="97"/>
              </w:rPr>
              <w:t>(Dollars in thousands)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jc w:val="center"/>
              <w:ind w:right="2510"/>
              <w:spacing w:after="0"/>
              <w:rPr>
                <w:sz w:val="20"/>
                <w:szCs w:val="20"/>
                <w:color w:val="auto"/>
              </w:rPr>
            </w:pPr>
            <w:r>
              <w:rPr>
                <w:rFonts w:ascii="Arial" w:cs="Arial" w:eastAsia="Arial" w:hAnsi="Arial"/>
                <w:sz w:val="18"/>
                <w:szCs w:val="18"/>
                <w:color w:val="auto"/>
                <w:w w:val="92"/>
              </w:rPr>
              <w:t>Originated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90,097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90,230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12.51%</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17,098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17,098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50,246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56,801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116,388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66,657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16,639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131,290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154,008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21.35%</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0.77%</w:t>
            </w:r>
          </w:p>
        </w:tc>
      </w:tr>
      <w:tr>
        <w:trPr>
          <w:trHeight w:val="20"/>
        </w:trPr>
        <w:tc>
          <w:tcPr>
            <w:tcW w:w="3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860" w:type="dxa"/>
            <w:vAlign w:val="bottom"/>
          </w:tcPr>
          <w:p>
            <w:pPr>
              <w:jc w:val="center"/>
              <w:ind w:right="2490"/>
              <w:spacing w:after="0"/>
              <w:rPr>
                <w:sz w:val="20"/>
                <w:szCs w:val="20"/>
                <w:color w:val="auto"/>
              </w:rPr>
            </w:pPr>
            <w:r>
              <w:rPr>
                <w:rFonts w:ascii="Arial" w:cs="Arial" w:eastAsia="Arial" w:hAnsi="Arial"/>
                <w:sz w:val="18"/>
                <w:szCs w:val="18"/>
                <w:color w:val="auto"/>
                <w:w w:val="90"/>
              </w:rPr>
              <w:t>Subtotal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198,785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254,748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31,571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485,104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67.25%</w:t>
            </w:r>
          </w:p>
        </w:tc>
      </w:tr>
      <w:tr>
        <w:trPr>
          <w:trHeight w:val="216"/>
        </w:trPr>
        <w:tc>
          <w:tcPr>
            <w:tcW w:w="3860" w:type="dxa"/>
            <w:vAlign w:val="bottom"/>
            <w:shd w:val="clear" w:color="auto" w:fill="CCEEFF"/>
          </w:tcPr>
          <w:p>
            <w:pPr>
              <w:jc w:val="center"/>
              <w:ind w:right="2550"/>
              <w:spacing w:after="0"/>
              <w:rPr>
                <w:sz w:val="20"/>
                <w:szCs w:val="20"/>
                <w:color w:val="auto"/>
              </w:rPr>
            </w:pPr>
            <w:r>
              <w:rPr>
                <w:rFonts w:ascii="Arial" w:cs="Arial" w:eastAsia="Arial" w:hAnsi="Arial"/>
                <w:sz w:val="18"/>
                <w:szCs w:val="18"/>
                <w:color w:val="auto"/>
                <w:w w:val="87"/>
              </w:rPr>
              <w:t>Purchased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132,911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132,911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98,406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98,406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13.64%</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r>
      <w:tr>
        <w:trPr>
          <w:trHeight w:val="20"/>
        </w:trPr>
        <w:tc>
          <w:tcPr>
            <w:tcW w:w="3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860" w:type="dxa"/>
            <w:vAlign w:val="bottom"/>
          </w:tcPr>
          <w:p>
            <w:pPr>
              <w:jc w:val="center"/>
              <w:ind w:right="2490"/>
              <w:spacing w:after="0"/>
              <w:rPr>
                <w:sz w:val="20"/>
                <w:szCs w:val="20"/>
                <w:color w:val="auto"/>
              </w:rPr>
            </w:pPr>
            <w:r>
              <w:rPr>
                <w:rFonts w:ascii="Arial" w:cs="Arial" w:eastAsia="Arial" w:hAnsi="Arial"/>
                <w:sz w:val="18"/>
                <w:szCs w:val="18"/>
                <w:color w:val="auto"/>
                <w:w w:val="90"/>
              </w:rPr>
              <w:t>Subtotal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236,314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236,314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32.75%</w:t>
            </w:r>
          </w:p>
        </w:tc>
      </w:tr>
      <w:tr>
        <w:trPr>
          <w:trHeight w:val="25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198,785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491,062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721,418</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899"/>
        </w:trPr>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w w:val="87"/>
              </w:rPr>
              <w:t>June 30, 2016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3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4"/>
          </w:tcPr>
          <w:p>
            <w:pPr>
              <w:jc w:val="center"/>
              <w:ind w:right="240"/>
              <w:spacing w:after="0" w:line="195" w:lineRule="exact"/>
              <w:rPr>
                <w:sz w:val="20"/>
                <w:szCs w:val="20"/>
                <w:color w:val="auto"/>
              </w:rPr>
            </w:pPr>
            <w:r>
              <w:rPr>
                <w:rFonts w:ascii="Arial" w:cs="Arial" w:eastAsia="Arial" w:hAnsi="Arial"/>
                <w:sz w:val="18"/>
                <w:szCs w:val="18"/>
                <w:color w:val="auto"/>
                <w:w w:val="94"/>
              </w:rPr>
              <w:t>Community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8"/>
                <w:szCs w:val="18"/>
                <w:color w:val="auto"/>
                <w:w w:val="95"/>
              </w:rPr>
              <w:t>Banking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Division</w:t>
            </w: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LASG</w:t>
            </w:r>
          </w:p>
        </w:tc>
        <w:tc>
          <w:tcPr>
            <w:tcW w:w="240" w:type="dxa"/>
            <w:vAlign w:val="bottom"/>
          </w:tcPr>
          <w:p>
            <w:pPr>
              <w:spacing w:after="0"/>
              <w:rPr>
                <w:sz w:val="20"/>
                <w:szCs w:val="20"/>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SBA Division</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Percent of Total</w:t>
            </w:r>
          </w:p>
        </w:tc>
        <w:tc>
          <w:tcPr>
            <w:tcW w:w="160" w:type="dxa"/>
            <w:vAlign w:val="bottom"/>
          </w:tcPr>
          <w:p>
            <w:pPr>
              <w:spacing w:after="0"/>
              <w:rPr>
                <w:sz w:val="20"/>
                <w:szCs w:val="20"/>
                <w:color w:val="auto"/>
              </w:rPr>
            </w:pPr>
          </w:p>
        </w:tc>
      </w:tr>
      <w:tr>
        <w:trPr>
          <w:trHeight w:val="210"/>
        </w:trPr>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w w:val="78"/>
              </w:rPr>
              <w:t>(Dollars in thousands)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jc w:val="center"/>
              <w:ind w:right="2510"/>
              <w:spacing w:after="0"/>
              <w:rPr>
                <w:sz w:val="20"/>
                <w:szCs w:val="20"/>
                <w:color w:val="auto"/>
              </w:rPr>
            </w:pPr>
            <w:r>
              <w:rPr>
                <w:rFonts w:ascii="Arial" w:cs="Arial" w:eastAsia="Arial" w:hAnsi="Arial"/>
                <w:sz w:val="18"/>
                <w:szCs w:val="18"/>
                <w:color w:val="auto"/>
                <w:w w:val="92"/>
              </w:rPr>
              <w:t>Originated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840" w:type="dxa"/>
            <w:vAlign w:val="bottom"/>
            <w:gridSpan w:val="2"/>
          </w:tcPr>
          <w:p>
            <w:pPr>
              <w:jc w:val="right"/>
              <w:ind w:right="2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93,258</w:t>
            </w:r>
          </w:p>
        </w:tc>
        <w:tc>
          <w:tcPr>
            <w:tcW w:w="2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93,391</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13.49%</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22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49,514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52,744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107,897</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46,727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81,719</w:t>
            </w:r>
          </w:p>
        </w:tc>
        <w:tc>
          <w:tcPr>
            <w:tcW w:w="22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16,069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123,447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145,758</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21.05%</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2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r>
      <w:tr>
        <w:trPr>
          <w:trHeight w:val="20"/>
        </w:trPr>
        <w:tc>
          <w:tcPr>
            <w:tcW w:w="3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860" w:type="dxa"/>
            <w:vAlign w:val="bottom"/>
          </w:tcPr>
          <w:p>
            <w:pPr>
              <w:jc w:val="center"/>
              <w:ind w:right="2490"/>
              <w:spacing w:after="0"/>
              <w:rPr>
                <w:sz w:val="20"/>
                <w:szCs w:val="20"/>
                <w:color w:val="auto"/>
              </w:rPr>
            </w:pPr>
            <w:r>
              <w:rPr>
                <w:rFonts w:ascii="Arial" w:cs="Arial" w:eastAsia="Arial" w:hAnsi="Arial"/>
                <w:sz w:val="18"/>
                <w:szCs w:val="18"/>
                <w:color w:val="auto"/>
                <w:w w:val="90"/>
              </w:rPr>
              <w:t>Subtotal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203,381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222,918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452,727</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65.38%</w:t>
            </w:r>
          </w:p>
        </w:tc>
      </w:tr>
      <w:tr>
        <w:trPr>
          <w:trHeight w:val="216"/>
        </w:trPr>
        <w:tc>
          <w:tcPr>
            <w:tcW w:w="3860" w:type="dxa"/>
            <w:vAlign w:val="bottom"/>
            <w:shd w:val="clear" w:color="auto" w:fill="CCEEFF"/>
          </w:tcPr>
          <w:p>
            <w:pPr>
              <w:jc w:val="center"/>
              <w:ind w:right="2550"/>
              <w:spacing w:after="0"/>
              <w:rPr>
                <w:sz w:val="20"/>
                <w:szCs w:val="20"/>
                <w:color w:val="auto"/>
              </w:rPr>
            </w:pPr>
            <w:r>
              <w:rPr>
                <w:rFonts w:ascii="Arial" w:cs="Arial" w:eastAsia="Arial" w:hAnsi="Arial"/>
                <w:sz w:val="18"/>
                <w:szCs w:val="18"/>
                <w:color w:val="auto"/>
                <w:w w:val="87"/>
              </w:rPr>
              <w:t>Purchased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2,559</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142,286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142,286</w:t>
            </w:r>
          </w:p>
        </w:tc>
        <w:tc>
          <w:tcPr>
            <w:tcW w:w="22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94,666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94,666</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r>
      <w:tr>
        <w:trPr>
          <w:trHeight w:val="20"/>
        </w:trPr>
        <w:tc>
          <w:tcPr>
            <w:tcW w:w="3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860" w:type="dxa"/>
            <w:vAlign w:val="bottom"/>
          </w:tcPr>
          <w:p>
            <w:pPr>
              <w:jc w:val="center"/>
              <w:ind w:right="2490"/>
              <w:spacing w:after="0"/>
              <w:rPr>
                <w:sz w:val="20"/>
                <w:szCs w:val="20"/>
                <w:color w:val="auto"/>
              </w:rPr>
            </w:pPr>
            <w:r>
              <w:rPr>
                <w:rFonts w:ascii="Arial" w:cs="Arial" w:eastAsia="Arial" w:hAnsi="Arial"/>
                <w:sz w:val="18"/>
                <w:szCs w:val="18"/>
                <w:color w:val="auto"/>
                <w:w w:val="90"/>
              </w:rPr>
              <w:t>Subtotal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239,709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239,709</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r>
      <w:tr>
        <w:trPr>
          <w:trHeight w:val="25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203,381</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462,627</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83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838"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September 30, 2016 and June 30, 2016.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gridSpan w:val="10"/>
          </w:tcPr>
          <w:p>
            <w:pPr>
              <w:jc w:val="center"/>
              <w:ind w:right="420"/>
              <w:spacing w:after="0"/>
              <w:rPr>
                <w:sz w:val="20"/>
                <w:szCs w:val="20"/>
                <w:color w:val="auto"/>
              </w:rPr>
            </w:pPr>
            <w:r>
              <w:rPr>
                <w:rFonts w:ascii="Arial" w:cs="Arial" w:eastAsia="Arial" w:hAnsi="Arial"/>
                <w:sz w:val="18"/>
                <w:szCs w:val="18"/>
                <w:color w:val="auto"/>
                <w:w w:val="89"/>
              </w:rPr>
              <w:t>Non-Performing Assets at September 30, 2016</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5"/>
              </w:rPr>
              <w:t>Purchased</w:t>
            </w:r>
          </w:p>
        </w:tc>
        <w:tc>
          <w:tcPr>
            <w:tcW w:w="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3,273</w:t>
            </w:r>
          </w:p>
        </w:tc>
        <w:tc>
          <w:tcPr>
            <w:tcW w:w="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4,380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3,618</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3,979</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3,010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3,774</w:t>
            </w: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3,558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6,456</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w:t>
            </w:r>
          </w:p>
        </w:tc>
      </w:tr>
      <w:tr>
        <w:trPr>
          <w:trHeight w:val="48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left="650"/>
              <w:spacing w:after="0"/>
              <w:rPr>
                <w:sz w:val="20"/>
                <w:szCs w:val="20"/>
                <w:color w:val="auto"/>
              </w:rPr>
            </w:pPr>
            <w:r>
              <w:rPr>
                <w:rFonts w:ascii="Arial" w:cs="Arial" w:eastAsia="Arial" w:hAnsi="Arial"/>
                <w:sz w:val="18"/>
                <w:szCs w:val="18"/>
                <w:color w:val="auto"/>
                <w:w w:val="89"/>
              </w:rPr>
              <w:t>Non-Performing Assets at June 30, 2016</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Purchased</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2,613</w:t>
            </w:r>
          </w:p>
        </w:tc>
        <w:tc>
          <w:tcPr>
            <w:tcW w:w="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3,738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3,387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3,861</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1,652</w:t>
            </w: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0.96%</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2,271</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4,518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7,036</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w:t>
            </w:r>
          </w:p>
        </w:tc>
      </w:tr>
    </w:tbl>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September 30, 2016, nonperforming assets totaled $12.7 million, or 1.29% of total assets, as compared to $9.5 million, or 0.96% of total assets, at June 30, 2016. The increase is largely due to one loan added to OREO and the effect of loans acquired in the current quarter which were classified as non-performing upon purchase.</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allowance for loan losses was $2.5 million as of September 30, 2016, which represents an increase of $156 thousand from $2.4 million as of June 30, 2016. The increase during the period was principally due to loan growth in the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September 30, 2016</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June 30, 2016</w:t>
            </w:r>
          </w:p>
        </w:tc>
        <w:tc>
          <w:tcPr>
            <w:tcW w:w="220" w:type="dxa"/>
            <w:vAlign w:val="bottom"/>
          </w:tcPr>
          <w:p>
            <w:pPr>
              <w:spacing w:after="0"/>
              <w:rPr>
                <w:sz w:val="20"/>
                <w:szCs w:val="20"/>
                <w:color w:val="auto"/>
              </w:rPr>
            </w:pP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September 30, 2015</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28.08%</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30.02%</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19.11%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0.35%</w:t>
            </w:r>
          </w:p>
        </w:tc>
        <w:tc>
          <w:tcPr>
            <w:tcW w:w="1880" w:type="dxa"/>
            <w:vAlign w:val="bottom"/>
            <w:gridSpan w:val="2"/>
          </w:tcPr>
          <w:p>
            <w:pPr>
              <w:jc w:val="right"/>
              <w:ind w:right="510"/>
              <w:spacing w:after="0"/>
              <w:rPr>
                <w:sz w:val="20"/>
                <w:szCs w:val="20"/>
                <w:color w:val="auto"/>
              </w:rPr>
            </w:pPr>
            <w:r>
              <w:rPr>
                <w:rFonts w:ascii="Arial" w:cs="Arial" w:eastAsia="Arial" w:hAnsi="Arial"/>
                <w:sz w:val="18"/>
                <w:szCs w:val="18"/>
                <w:color w:val="auto"/>
              </w:rPr>
              <w:t>0.34%</w:t>
            </w:r>
          </w:p>
        </w:tc>
        <w:tc>
          <w:tcPr>
            <w:tcW w:w="21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0.33%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0.18%</w:t>
            </w:r>
          </w:p>
        </w:tc>
        <w:tc>
          <w:tcPr>
            <w:tcW w:w="18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0.18%</w:t>
            </w:r>
          </w:p>
        </w:tc>
        <w:tc>
          <w:tcPr>
            <w:tcW w:w="2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0.03%</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for loan losses,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$114 thousand, or 0.7% to $15.8 million at September 30, 2016, compared to $15.7 million at June 30, 2016.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11.5% of the Company’s total capital at September 30, 2016.</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Intangible assets totaled $1.6 million and $1.7 million at September 30, 2016 and June 30, 2016, respectively. The $109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Subordinated Debt, Liquidity, Capital, and 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September 30, 2016, non-maturity accounts, and certificates of deposit with balances less than $250 thousand represented 99.9% of total deposits.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Total deposits increased $5.0 million to $805.4 million as of September 30, 2016 from $800.4 million as of June 30, 2016. The increase, which funded growth in the Company’s loan portfolio, was centered mainly in money market accounts attracted through the Bank’s Community Banking Division.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September 30, 2016 and June 30,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860"/>
              <w:spacing w:after="0"/>
              <w:rPr>
                <w:sz w:val="20"/>
                <w:szCs w:val="20"/>
                <w:color w:val="auto"/>
              </w:rPr>
            </w:pPr>
            <w:r>
              <w:rPr>
                <w:rFonts w:ascii="Arial" w:cs="Arial" w:eastAsia="Arial" w:hAnsi="Arial"/>
                <w:sz w:val="18"/>
                <w:szCs w:val="18"/>
                <w:color w:val="auto"/>
              </w:rPr>
              <w:t>September 30, 2016</w:t>
            </w:r>
          </w:p>
        </w:tc>
        <w:tc>
          <w:tcPr>
            <w:tcW w:w="220" w:type="dxa"/>
            <w:vAlign w:val="bottom"/>
          </w:tcPr>
          <w:p>
            <w:pPr>
              <w:spacing w:after="0"/>
              <w:rPr>
                <w:sz w:val="20"/>
                <w:szCs w:val="20"/>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8"/>
                <w:szCs w:val="18"/>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Percent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580"/>
              <w:spacing w:after="0"/>
              <w:rPr>
                <w:sz w:val="20"/>
                <w:szCs w:val="20"/>
                <w:color w:val="auto"/>
              </w:rPr>
            </w:pPr>
            <w:r>
              <w:rPr>
                <w:rFonts w:ascii="Arial" w:cs="Arial" w:eastAsia="Arial" w:hAnsi="Arial"/>
                <w:sz w:val="18"/>
                <w:szCs w:val="18"/>
                <w:color w:val="auto"/>
              </w:rPr>
              <w:t>(Dollars in thousands)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74,249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66,686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71,853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71,148</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35,512</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36,070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Money market deposits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302,079</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37.51%</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275,437</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483,693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449,341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9"/>
              </w:rPr>
              <w:t>Term certificates less than $250 thousand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321,215</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39.88%</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351,091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Term certificates of $250 thousand or more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321,716</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39.94%</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351,091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805,409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Advances from the FHLBB were $30.0 million at September 30, 2016, as compared to $30.1 million at June 30, 2016. At September 30, 2016, the Company had pledged certain residential real estate loans, commercial real estate loans, and FHLBB deposits free of liens or pledges to secure outstanding advances and provide additional borrowing capacity. At September 30, 2016, no securities were pledged for outstanding borrowings.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29, 2016, the Company entered into a Subordinated Note Purchase Agreement with certain institutional accredited investors pursuant to which the Company sold and issued subordinated notes equal to $15.05 million in aggregate principal amount with an interest rate of 6.75% fixed-to-floating maturing in 2026 (“subordinated notes”). The subordinated notes, net of issuance costs of $524 thousand, totaled $14.5 million at both September 30, 2016 and June 30, 2016, respectively.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had junior subordinated debentures issued to affiliated trusts totaling $8.9 million and $8.8 million at September 30, 2016 and June 30,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is a summary of unused borrowing capacity of the Company at September 30, 2016, in addition to traditional retail deposit products (dollars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246,392</w:t>
            </w:r>
          </w:p>
        </w:tc>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Subject to policy limitation of 25% of total assets</w:t>
            </w: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80" w:type="dxa"/>
            <w:vAlign w:val="bottom"/>
          </w:tcPr>
          <w:p>
            <w:pPr>
              <w:ind w:left="60"/>
              <w:spacing w:after="0" w:line="201" w:lineRule="exact"/>
              <w:rPr>
                <w:sz w:val="20"/>
                <w:szCs w:val="20"/>
                <w:color w:val="auto"/>
              </w:rPr>
            </w:pPr>
            <w:r>
              <w:rPr>
                <w:rFonts w:ascii="Arial" w:cs="Arial" w:eastAsia="Arial" w:hAnsi="Arial"/>
                <w:sz w:val="18"/>
                <w:szCs w:val="18"/>
                <w:color w:val="auto"/>
              </w:rPr>
              <w:t>Unused advance capacity subject to eligible and</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Federal Home Loan Bank of Boston</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68,478</w:t>
            </w:r>
          </w:p>
        </w:tc>
        <w:tc>
          <w:tcPr>
            <w:tcW w:w="4080" w:type="dxa"/>
            <w:vAlign w:val="bottom"/>
          </w:tcPr>
          <w:p>
            <w:pPr>
              <w:ind w:left="60"/>
              <w:spacing w:after="0"/>
              <w:rPr>
                <w:sz w:val="20"/>
                <w:szCs w:val="20"/>
                <w:color w:val="auto"/>
              </w:rPr>
            </w:pPr>
            <w:r>
              <w:rPr>
                <w:rFonts w:ascii="Arial" w:cs="Arial" w:eastAsia="Arial" w:hAnsi="Arial"/>
                <w:sz w:val="18"/>
                <w:szCs w:val="18"/>
                <w:color w:val="auto"/>
              </w:rPr>
              <w:t>qualified collateral</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5"/>
              </w:rPr>
              <w:t>Federal Discount Window Borrower-in-Custody</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available lines</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40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unused borrowing capacity</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334,112</w:t>
            </w:r>
          </w:p>
        </w:tc>
        <w:tc>
          <w:tcPr>
            <w:tcW w:w="40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in the Federal Home Loan Bank of Boston may be required.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September 30, 2016, the Company had $411.2 million of immediately accessible liquidity, defined as cash that the Bank reasonably believes could be raised within seven days through collateralized borrowings, brokered deposits or security sales. This position represented 41.9% of total assets. The Company also had $126.2 million of cash and cash equivalents at September 30, 2016.</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unpaid principal balance and carrying amount of junior subordinated debentures totaled $16.5 million and $8.9 million, respectively, as of September 30, 2016. This debt represents qualifying Tier 1 capital for the Company, up to a maximum of 25% of total Tier 1 capital. At September 30, 2016, the carrying amounts of the junior subordinated notes, net of the Company’s $496 thousand investment in the affiliated trusts, qualified as Tier 1 capital.</w:t>
      </w:r>
    </w:p>
    <w:p>
      <w:pPr>
        <w:spacing w:after="0" w:line="14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At September 30, 2016, shareholders’ equity was $111.6 million, a decrease of $5.0 million, or 4.3% from June 30, 2016. Book value per outstanding common share was $12.63 at September 30, 2016 and $12.51 at June 30, 2016. Tier 1 capital to total average assets of the Company was 12.25% as of September 30, 2016 and 13.27% at June 30, 2016.</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w:t>
      </w:r>
    </w:p>
    <w:p>
      <w:pPr>
        <w:spacing w:after="0" w:line="2" w:lineRule="exact"/>
        <w:rPr>
          <w:sz w:val="20"/>
          <w:szCs w:val="20"/>
          <w:color w:val="auto"/>
        </w:rPr>
      </w:pPr>
    </w:p>
    <w:p>
      <w:pPr>
        <w:ind w:right="240" w:firstLine="8"/>
        <w:spacing w:after="0" w:line="290" w:lineRule="auto"/>
        <w:tabs>
          <w:tab w:leader="none" w:pos="3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and the Banks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8"/>
          </w:tcPr>
          <w:p>
            <w:pPr>
              <w:jc w:val="center"/>
              <w:ind w:right="240"/>
              <w:spacing w:after="0"/>
              <w:rPr>
                <w:sz w:val="20"/>
                <w:szCs w:val="20"/>
                <w:color w:val="auto"/>
              </w:rPr>
            </w:pPr>
            <w:r>
              <w:rPr>
                <w:rFonts w:ascii="Arial" w:cs="Arial" w:eastAsia="Arial" w:hAnsi="Arial"/>
                <w:sz w:val="18"/>
                <w:szCs w:val="18"/>
                <w:color w:val="auto"/>
                <w:w w:val="95"/>
              </w:rPr>
              <w:t>Minimum To Be Well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ind w:left="240"/>
              <w:spacing w:after="0"/>
              <w:rPr>
                <w:sz w:val="20"/>
                <w:szCs w:val="20"/>
                <w:color w:val="auto"/>
              </w:rPr>
            </w:pPr>
            <w:r>
              <w:rPr>
                <w:rFonts w:ascii="Arial" w:cs="Arial" w:eastAsia="Arial" w:hAnsi="Arial"/>
                <w:sz w:val="18"/>
                <w:szCs w:val="18"/>
                <w:color w:val="auto"/>
              </w:rPr>
              <w:t>Minimum Capital</w:t>
            </w:r>
          </w:p>
        </w:tc>
        <w:tc>
          <w:tcPr>
            <w:tcW w:w="120" w:type="dxa"/>
            <w:vAlign w:val="bottom"/>
          </w:tcPr>
          <w:p>
            <w:pPr>
              <w:spacing w:after="0"/>
              <w:rPr>
                <w:sz w:val="18"/>
                <w:szCs w:val="18"/>
                <w:color w:val="auto"/>
              </w:rPr>
            </w:pPr>
          </w:p>
        </w:tc>
        <w:tc>
          <w:tcPr>
            <w:tcW w:w="2180" w:type="dxa"/>
            <w:vAlign w:val="bottom"/>
            <w:gridSpan w:val="8"/>
          </w:tcPr>
          <w:p>
            <w:pPr>
              <w:jc w:val="center"/>
              <w:ind w:right="220"/>
              <w:spacing w:after="0"/>
              <w:rPr>
                <w:sz w:val="20"/>
                <w:szCs w:val="20"/>
                <w:color w:val="auto"/>
              </w:rPr>
            </w:pPr>
            <w:r>
              <w:rPr>
                <w:rFonts w:ascii="Arial" w:cs="Arial" w:eastAsia="Arial" w:hAnsi="Arial"/>
                <w:sz w:val="18"/>
                <w:szCs w:val="18"/>
                <w:color w:val="auto"/>
                <w:w w:val="91"/>
              </w:rPr>
              <w:t>Capitalized Under Prompt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Actual</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6"/>
          </w:tcPr>
          <w:p>
            <w:pPr>
              <w:ind w:left="380"/>
              <w:spacing w:after="0"/>
              <w:rPr>
                <w:sz w:val="20"/>
                <w:szCs w:val="20"/>
                <w:color w:val="auto"/>
              </w:rPr>
            </w:pPr>
            <w:r>
              <w:rPr>
                <w:rFonts w:ascii="Arial" w:cs="Arial" w:eastAsia="Arial" w:hAnsi="Arial"/>
                <w:sz w:val="18"/>
                <w:szCs w:val="18"/>
                <w:color w:val="auto"/>
              </w:rPr>
              <w:t>Requirements</w:t>
            </w:r>
          </w:p>
        </w:tc>
        <w:tc>
          <w:tcPr>
            <w:tcW w:w="2300" w:type="dxa"/>
            <w:vAlign w:val="bottom"/>
            <w:gridSpan w:val="9"/>
          </w:tcPr>
          <w:p>
            <w:pPr>
              <w:jc w:val="center"/>
              <w:ind w:right="100"/>
              <w:spacing w:after="0"/>
              <w:rPr>
                <w:sz w:val="20"/>
                <w:szCs w:val="20"/>
                <w:color w:val="auto"/>
              </w:rPr>
            </w:pPr>
            <w:r>
              <w:rPr>
                <w:rFonts w:ascii="Arial" w:cs="Arial" w:eastAsia="Arial" w:hAnsi="Arial"/>
                <w:sz w:val="18"/>
                <w:szCs w:val="18"/>
                <w:color w:val="auto"/>
                <w:w w:val="93"/>
              </w:rPr>
              <w:t>Correction Action Provisions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Amount</w:t>
            </w:r>
          </w:p>
        </w:tc>
        <w:tc>
          <w:tcPr>
            <w:tcW w:w="7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Amount</w:t>
            </w:r>
          </w:p>
        </w:tc>
        <w:tc>
          <w:tcPr>
            <w:tcW w:w="86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Ratio</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Amount</w:t>
            </w:r>
          </w:p>
        </w:tc>
        <w:tc>
          <w:tcPr>
            <w:tcW w:w="980" w:type="dxa"/>
            <w:vAlign w:val="bottom"/>
            <w:tcBorders>
              <w:top w:val="single" w:sz="8" w:color="auto"/>
            </w:tcBorders>
            <w:gridSpan w:val="5"/>
          </w:tcPr>
          <w:p>
            <w:pPr>
              <w:jc w:val="right"/>
              <w:ind w:right="210"/>
              <w:spacing w:after="0"/>
              <w:rPr>
                <w:sz w:val="20"/>
                <w:szCs w:val="20"/>
                <w:color w:val="auto"/>
              </w:rPr>
            </w:pPr>
            <w:r>
              <w:rPr>
                <w:rFonts w:ascii="Arial" w:cs="Arial" w:eastAsia="Arial" w:hAnsi="Arial"/>
                <w:sz w:val="18"/>
                <w:szCs w:val="18"/>
                <w:color w:val="auto"/>
              </w:rPr>
              <w:t>Ratio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(Dollars in</w:t>
            </w:r>
          </w:p>
        </w:tc>
        <w:tc>
          <w:tcPr>
            <w:tcW w:w="120" w:type="dxa"/>
            <w:vAlign w:val="bottom"/>
          </w:tcPr>
          <w:p>
            <w:pPr>
              <w:spacing w:after="0"/>
              <w:rPr>
                <w:sz w:val="18"/>
                <w:szCs w:val="18"/>
                <w:color w:val="auto"/>
              </w:rPr>
            </w:pPr>
          </w:p>
        </w:tc>
        <w:tc>
          <w:tcPr>
            <w:tcW w:w="8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6"/>
                <w:szCs w:val="16"/>
                <w:color w:val="auto"/>
                <w:w w:val="73"/>
              </w:rPr>
              <w:t>thousands)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5"/>
              </w:rPr>
              <w:t>Common equity tier 1 capital to risk weighted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112,672</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33,024</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119,472</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16.27%</w:t>
            </w:r>
          </w:p>
        </w:tc>
        <w:tc>
          <w:tcPr>
            <w:tcW w:w="100" w:type="dxa"/>
            <w:vAlign w:val="bottom"/>
          </w:tcPr>
          <w:p>
            <w:pPr>
              <w:spacing w:after="0"/>
              <w:rPr>
                <w:sz w:val="15"/>
                <w:szCs w:val="15"/>
                <w:color w:val="auto"/>
              </w:rPr>
            </w:pP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33,048</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47,736</w:t>
            </w:r>
          </w:p>
        </w:tc>
        <w:tc>
          <w:tcPr>
            <w:tcW w:w="1080" w:type="dxa"/>
            <w:vAlign w:val="bottom"/>
            <w:gridSpan w:val="6"/>
          </w:tcPr>
          <w:p>
            <w:pPr>
              <w:jc w:val="right"/>
              <w:ind w:right="100"/>
              <w:spacing w:after="0" w:line="176" w:lineRule="exact"/>
              <w:rPr>
                <w:sz w:val="20"/>
                <w:szCs w:val="20"/>
                <w:color w:val="auto"/>
              </w:rPr>
            </w:pPr>
            <w:r>
              <w:rPr>
                <w:rFonts w:ascii="Arial" w:cs="Arial" w:eastAsia="Arial" w:hAnsi="Arial"/>
                <w:sz w:val="18"/>
                <w:szCs w:val="18"/>
                <w:color w:val="auto"/>
              </w:rPr>
              <w:t>&gt;6.5%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138,130</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58,709</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122,243</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16.65%</w:t>
            </w:r>
          </w:p>
        </w:tc>
        <w:tc>
          <w:tcPr>
            <w:tcW w:w="100" w:type="dxa"/>
            <w:vAlign w:val="bottom"/>
          </w:tcPr>
          <w:p>
            <w:pPr>
              <w:spacing w:after="0"/>
              <w:rPr>
                <w:sz w:val="15"/>
                <w:szCs w:val="15"/>
                <w:color w:val="auto"/>
              </w:rPr>
            </w:pP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58,753</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73,441</w:t>
            </w:r>
          </w:p>
        </w:tc>
        <w:tc>
          <w:tcPr>
            <w:tcW w:w="1080" w:type="dxa"/>
            <w:vAlign w:val="bottom"/>
            <w:gridSpan w:val="6"/>
          </w:tcPr>
          <w:p>
            <w:pPr>
              <w:jc w:val="right"/>
              <w:ind w:right="10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121,043</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44,032</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119,472</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16.27%</w:t>
            </w:r>
          </w:p>
        </w:tc>
        <w:tc>
          <w:tcPr>
            <w:tcW w:w="100" w:type="dxa"/>
            <w:vAlign w:val="bottom"/>
          </w:tcPr>
          <w:p>
            <w:pPr>
              <w:spacing w:after="0"/>
              <w:rPr>
                <w:sz w:val="15"/>
                <w:szCs w:val="15"/>
                <w:color w:val="auto"/>
              </w:rPr>
            </w:pP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44,064</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58,753</w:t>
            </w:r>
          </w:p>
        </w:tc>
        <w:tc>
          <w:tcPr>
            <w:tcW w:w="1080" w:type="dxa"/>
            <w:vAlign w:val="bottom"/>
            <w:gridSpan w:val="6"/>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121,043</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39,538</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119,472</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12.09%</w:t>
            </w:r>
          </w:p>
        </w:tc>
        <w:tc>
          <w:tcPr>
            <w:tcW w:w="100" w:type="dxa"/>
            <w:vAlign w:val="bottom"/>
          </w:tcPr>
          <w:p>
            <w:pPr>
              <w:spacing w:after="0"/>
              <w:rPr>
                <w:sz w:val="15"/>
                <w:szCs w:val="15"/>
                <w:color w:val="auto"/>
              </w:rPr>
            </w:pP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39,542</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49,428</w:t>
            </w:r>
          </w:p>
        </w:tc>
        <w:tc>
          <w:tcPr>
            <w:tcW w:w="1080" w:type="dxa"/>
            <w:vAlign w:val="bottom"/>
            <w:gridSpan w:val="6"/>
          </w:tcPr>
          <w:p>
            <w:pPr>
              <w:jc w:val="right"/>
              <w:ind w:right="10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June 30, 2016:</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Common equity tier 1 capital to risk weighted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126,046</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17.97%</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31,559</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117,212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31,611</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45,660</w:t>
            </w:r>
          </w:p>
        </w:tc>
        <w:tc>
          <w:tcPr>
            <w:tcW w:w="1080" w:type="dxa"/>
            <w:vAlign w:val="bottom"/>
            <w:gridSpan w:val="6"/>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142,988</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20.39%</w:t>
            </w:r>
          </w:p>
        </w:tc>
        <w:tc>
          <w:tcPr>
            <w:tcW w:w="100" w:type="dxa"/>
            <w:vAlign w:val="bottom"/>
          </w:tcPr>
          <w:p>
            <w:pPr>
              <w:spacing w:after="0"/>
              <w:rPr>
                <w:sz w:val="15"/>
                <w:szCs w:val="15"/>
                <w:color w:val="auto"/>
              </w:rPr>
            </w:pP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56,105</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119,971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56,197</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70,246</w:t>
            </w:r>
          </w:p>
        </w:tc>
        <w:tc>
          <w:tcPr>
            <w:tcW w:w="1080" w:type="dxa"/>
            <w:vAlign w:val="bottom"/>
            <w:gridSpan w:val="6"/>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126,046</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17.97%</w:t>
            </w:r>
          </w:p>
        </w:tc>
        <w:tc>
          <w:tcPr>
            <w:tcW w:w="100" w:type="dxa"/>
            <w:vAlign w:val="bottom"/>
          </w:tcPr>
          <w:p>
            <w:pPr>
              <w:spacing w:after="0"/>
              <w:rPr>
                <w:sz w:val="15"/>
                <w:szCs w:val="15"/>
                <w:color w:val="auto"/>
              </w:rPr>
            </w:pP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42,079</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117,212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42,148</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56,197</w:t>
            </w:r>
          </w:p>
        </w:tc>
        <w:tc>
          <w:tcPr>
            <w:tcW w:w="1080" w:type="dxa"/>
            <w:vAlign w:val="bottom"/>
            <w:gridSpan w:val="6"/>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126,046</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13.27%</w:t>
            </w:r>
          </w:p>
        </w:tc>
        <w:tc>
          <w:tcPr>
            <w:tcW w:w="100" w:type="dxa"/>
            <w:vAlign w:val="bottom"/>
          </w:tcPr>
          <w:p>
            <w:pPr>
              <w:spacing w:after="0"/>
              <w:rPr>
                <w:sz w:val="15"/>
                <w:szCs w:val="15"/>
                <w:color w:val="auto"/>
              </w:rPr>
            </w:pP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38,006</w:t>
            </w:r>
          </w:p>
        </w:tc>
        <w:tc>
          <w:tcPr>
            <w:tcW w:w="96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117,212</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38,022</w:t>
            </w: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47,528</w:t>
            </w:r>
          </w:p>
        </w:tc>
        <w:tc>
          <w:tcPr>
            <w:tcW w:w="1080" w:type="dxa"/>
            <w:vAlign w:val="bottom"/>
            <w:gridSpan w:val="6"/>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22, 2016, the Company purchased 645,238 shares at a price of $10.75 per share.</w:t>
      </w:r>
    </w:p>
    <w:p>
      <w:pPr>
        <w:spacing w:after="0" w:line="22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On October 21, 2016, the Board of Directors voted to amend the existing stock repurchase program to authorize the Company to purchase an additional 500,000 shares of its common stock, representing 5.7% of the Company’s outstanding common shares. Under the existing program, implemented in April 2014, the Company has purchased 1,970,000 shares through October 25, 2016 and no shares remained available for repurchase under the program on that date, prior to the 500,000 share increase in the repurchase plan. The amended stock repurchase program will expire on October 21,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income decreased by $116 thousand to $1.8 million for the quarter ended September 30, 2016, compared to $1.9 million for the quarter ended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“Total Return” on purchased loans, which includes transactional interest income of $1.3 million for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yield on purchased loans for the quarter ended September 30, 2016 was 10.4% as compared to 12.1% in the quarter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primarily due to lower transactional income in the quarter. The following table details the total return on purchased loans: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8"/>
                <w:szCs w:val="18"/>
                <w:color w:val="auto"/>
                <w:w w:val="89"/>
              </w:rPr>
              <w:t>Total Return on Purchased Loans</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8"/>
                <w:szCs w:val="18"/>
                <w:color w:val="auto"/>
                <w:w w:val="89"/>
              </w:rPr>
              <w:t>Three Months Ended September 30,</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Return (1)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6"/>
          </w:tcPr>
          <w:p>
            <w:pPr>
              <w:jc w:val="center"/>
              <w:ind w:right="500"/>
              <w:spacing w:after="0"/>
              <w:rPr>
                <w:sz w:val="20"/>
                <w:szCs w:val="20"/>
                <w:color w:val="auto"/>
              </w:rPr>
            </w:pPr>
            <w:r>
              <w:rPr>
                <w:rFonts w:ascii="Arial" w:cs="Arial" w:eastAsia="Arial" w:hAnsi="Arial"/>
                <w:sz w:val="18"/>
                <w:szCs w:val="18"/>
                <w:color w:val="auto"/>
                <w:w w:val="91"/>
              </w:rPr>
              <w:t>(Dollars in thousands)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8"/>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2,208</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r>
      <w:tr>
        <w:trPr>
          <w:trHeight w:val="210"/>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r>
      <w:tr>
        <w:trPr>
          <w:trHeight w:val="210"/>
        </w:trPr>
        <w:tc>
          <w:tcPr>
            <w:tcW w:w="336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line="210" w:lineRule="exact"/>
              <w:rPr>
                <w:sz w:val="20"/>
                <w:szCs w:val="20"/>
                <w:color w:val="auto"/>
              </w:rPr>
            </w:pPr>
            <w:r>
              <w:rPr>
                <w:rFonts w:ascii="Arial" w:cs="Arial" w:eastAsia="Arial" w:hAnsi="Arial"/>
                <w:sz w:val="14"/>
                <w:szCs w:val="14"/>
                <w:color w:val="auto"/>
              </w:rPr>
              <w:t>10.43</w:t>
            </w:r>
            <w:r>
              <w:rPr>
                <w:rFonts w:ascii="Arial" w:cs="Arial" w:eastAsia="Arial" w:hAnsi="Arial"/>
                <w:sz w:val="24"/>
                <w:szCs w:val="24"/>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6,117</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12.11</w:t>
            </w:r>
            <w:r>
              <w:rPr>
                <w:rFonts w:ascii="Arial" w:cs="Arial" w:eastAsia="Arial" w:hAnsi="Arial"/>
                <w:sz w:val="24"/>
                <w:szCs w:val="24"/>
                <w:color w:val="auto"/>
                <w:vertAlign w:val="superscript"/>
              </w:rPr>
              <w:t>%</w:t>
            </w:r>
          </w:p>
        </w:tc>
      </w:tr>
      <w:tr>
        <w:trPr>
          <w:trHeight w:val="20"/>
        </w:trPr>
        <w:tc>
          <w:tcPr>
            <w:tcW w:w="3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on an annualized basis. The total return does not include the effect of purchased loan charge-offs or recoveries in the quarter. The total return presented is a non-GAAP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2016 and 2015</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$534 thousand for the quarter ended September 30, 2016, compared to the quarter ended September 30, 2015. The increase is primarily due to higher average balances in the total loan portfolio, offset by higher average deposit balances and the effect of the issuance of the subordinated debt.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w w:val="97"/>
              </w:rPr>
              <w:t>Interest Income and Yield on Loans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color w:val="auto"/>
                <w:w w:val="95"/>
              </w:rPr>
              <w:t>Three Months Ended September 30,</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Balance (1)</w:t>
            </w: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Income (2)</w:t>
            </w:r>
          </w:p>
        </w:tc>
        <w:tc>
          <w:tcPr>
            <w:tcW w:w="120" w:type="dxa"/>
            <w:vAlign w:val="bottom"/>
          </w:tcPr>
          <w:p>
            <w:pPr>
              <w:spacing w:after="0"/>
              <w:rPr>
                <w:sz w:val="20"/>
                <w:szCs w:val="20"/>
                <w:color w:val="auto"/>
              </w:rPr>
            </w:pPr>
          </w:p>
        </w:tc>
        <w:tc>
          <w:tcPr>
            <w:tcW w:w="1340" w:type="dxa"/>
            <w:vAlign w:val="bottom"/>
            <w:gridSpan w:val="2"/>
          </w:tcPr>
          <w:p>
            <w:pPr>
              <w:jc w:val="right"/>
              <w:ind w:right="490"/>
              <w:spacing w:after="0"/>
              <w:rPr>
                <w:sz w:val="20"/>
                <w:szCs w:val="20"/>
                <w:color w:val="auto"/>
              </w:rPr>
            </w:pPr>
            <w:r>
              <w:rPr>
                <w:rFonts w:ascii="Arial" w:cs="Arial" w:eastAsia="Arial" w:hAnsi="Arial"/>
                <w:sz w:val="18"/>
                <w:szCs w:val="18"/>
                <w:color w:val="auto"/>
              </w:rPr>
              <w:t>Yield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Balance (1)</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Income (2)</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Yield</w:t>
            </w:r>
          </w:p>
        </w:tc>
      </w:tr>
      <w:tr>
        <w:trPr>
          <w:trHeight w:val="210"/>
        </w:trPr>
        <w:tc>
          <w:tcPr>
            <w:tcW w:w="3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13,722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185,109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118,574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200,385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Secured Loans to Broker-Dealers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60,007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r>
      <w:tr>
        <w:trPr>
          <w:trHeight w:val="210"/>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LASG</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465,108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378,966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r>
      <w:tr>
        <w:trPr>
          <w:trHeight w:val="210"/>
        </w:trPr>
        <w:tc>
          <w:tcPr>
            <w:tcW w:w="332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702,021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11,803</w:t>
            </w:r>
          </w:p>
        </w:tc>
        <w:tc>
          <w:tcPr>
            <w:tcW w:w="1460" w:type="dxa"/>
            <w:vAlign w:val="bottom"/>
            <w:gridSpan w:val="3"/>
          </w:tcPr>
          <w:p>
            <w:pPr>
              <w:jc w:val="right"/>
              <w:spacing w:after="0" w:line="210" w:lineRule="exact"/>
              <w:rPr>
                <w:sz w:val="20"/>
                <w:szCs w:val="20"/>
                <w:color w:val="auto"/>
              </w:rPr>
            </w:pPr>
            <w:r>
              <w:rPr>
                <w:rFonts w:ascii="Arial" w:cs="Arial" w:eastAsia="Arial" w:hAnsi="Arial"/>
                <w:sz w:val="14"/>
                <w:szCs w:val="14"/>
                <w:color w:val="auto"/>
              </w:rPr>
              <w:t>6.67</w:t>
            </w:r>
            <w:r>
              <w:rPr>
                <w:rFonts w:ascii="Arial" w:cs="Arial" w:eastAsia="Arial" w:hAnsi="Arial"/>
                <w:sz w:val="24"/>
                <w:szCs w:val="24"/>
                <w:color w:val="auto"/>
                <w:vertAlign w:val="superscript"/>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617,839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10,790</w:t>
            </w:r>
          </w:p>
        </w:tc>
        <w:tc>
          <w:tcPr>
            <w:tcW w:w="130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6.93</w:t>
            </w:r>
            <w:r>
              <w:rPr>
                <w:rFonts w:ascii="Arial" w:cs="Arial" w:eastAsia="Arial" w:hAnsi="Arial"/>
                <w:sz w:val="24"/>
                <w:szCs w:val="24"/>
                <w:color w:val="auto"/>
                <w:vertAlign w:val="superscript"/>
              </w:rPr>
              <w:t>%</w:t>
            </w:r>
          </w:p>
        </w:tc>
      </w:tr>
      <w:tr>
        <w:trPr>
          <w:trHeight w:val="20"/>
        </w:trPr>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SBA interest income includes fees of $50 thousand and $13 thousand for the quarters ended September 30, 2016 and 2015, respectively.</w:t>
      </w:r>
    </w:p>
    <w:p>
      <w:pPr>
        <w:spacing w:after="0" w:line="200" w:lineRule="exact"/>
        <w:rPr>
          <w:sz w:val="20"/>
          <w:szCs w:val="20"/>
          <w:color w:val="auto"/>
        </w:rPr>
      </w:pPr>
    </w:p>
    <w:p>
      <w:pPr>
        <w:spacing w:after="0" w:line="2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interest rate spread decreased by 41 basis points and net interest margin decreased by 39 basis points for the quarter ended September 30, 2016 compared to the quarter ended September 30, 2015. The decrease was principally due to lower transactional interest income in the purchased portfolio, as well as the effect of the issuance of the subordinated debt in June 2016.</w:t>
      </w:r>
    </w:p>
    <w:p>
      <w:pPr>
        <w:sectPr>
          <w:pgSz w:w="11900" w:h="16838" w:orient="portrait"/>
          <w:cols w:equalWidth="0" w:num="1">
            <w:col w:w="11420"/>
          </w:cols>
          <w:pgMar w:left="240" w:top="118" w:right="239" w:bottom="46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460"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September 30, 2016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5"/>
              </w:rPr>
              <w:t>Three Months Ended September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Income/</w:t>
            </w: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Expense</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Loans (1) (2) (3)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702,021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11,821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617,839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99,649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953,720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823,831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3,026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987,473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863,277</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 accounts</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Money market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291,734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170,566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36,360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336,271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350,867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734,624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627,412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Borrowed funds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789,132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678,668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Non-interest 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Demand deposits and escrow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873,017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114,456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113,170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987,473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9,259</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3"/>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interest margin (5)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40" w:firstLine="8"/>
        <w:spacing w:after="0" w:line="258"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 Fully tax-equivalent adjustment, a non-GAAP measure, totaled $18 thousand for the three months ended September 30, 2016 and 2015.</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Nonaccrual loans are included in the computation of average, but unpaid interest has not been included for purposes of determining interest income.</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gridSpan w:val="10"/>
          </w:tcPr>
          <w:p>
            <w:pPr>
              <w:jc w:val="right"/>
              <w:ind w:right="420"/>
              <w:spacing w:after="0"/>
              <w:rPr>
                <w:sz w:val="20"/>
                <w:szCs w:val="20"/>
                <w:color w:val="auto"/>
              </w:rPr>
            </w:pPr>
            <w:r>
              <w:rPr>
                <w:rFonts w:ascii="Arial" w:cs="Arial" w:eastAsia="Arial" w:hAnsi="Arial"/>
                <w:sz w:val="18"/>
                <w:szCs w:val="18"/>
                <w:color w:val="auto"/>
                <w:w w:val="92"/>
              </w:rPr>
              <w:t>Three Months Ended September 30, 2016 compared to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w w:val="92"/>
              </w:rPr>
              <w:t>Change Due to</w:t>
            </w: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8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Change Due to Rate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change in net 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Formation LLC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provision for loan losses for the quarter ended September 30, 2016 and 2015 was $193 thousand and $169 thousand, respectively. The increase in the Company’s loan loss provision resulted principally due to the increased volume of newly originated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Noninterest income increased by $103 thousand for the quarter ended September 30, 2016, compared to the quarter ended September 30, 2015, principally due to an increase in gains realized on sale of SBA loans of $68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Noninterest expense increased by $816 thousand for the quarter ended September 30, 2016, compared to the quarter ended September 30, 2015, primarily due to an increase in salaries and employee benefits of $1.1 million, largely attributable to higher employee headcount, increased incentive compensation, and the benefit recognized upon the forfeiture of stock awards in the quarter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Company’s income tax expense was $1.0 million or an effective rate of 36.6%, for the three months ended September 30, 2016, as compared to $1.1 million, or an effective rate of 37.1%, for the three months ended September 30, 2015, primarily due to state apportionment changes.</w:t>
      </w:r>
    </w:p>
    <w:p>
      <w:pPr>
        <w:sectPr>
          <w:pgSz w:w="11900" w:h="16838" w:orient="portrait"/>
          <w:cols w:equalWidth="0" w:num="1">
            <w:col w:w="11420"/>
          </w:cols>
          <w:pgMar w:left="240" w:top="118"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Asset/Liability Management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w:t>
      </w:r>
    </w:p>
    <w:p>
      <w:pPr>
        <w:spacing w:after="0" w:line="1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Interest-Rate Risk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can be subject to margin compression depending on the economic environment and the shape of the yield curve. Under the Company's current balance sheet position, the Company's margin generally performs slightly better over time in a rising rate environment, while it generally decreases in a declining rate environment and when the yield curve is flattening or inverted.</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Under a flattening yield curve scenario, margin compression occurs as the spread between the cost of funding and the yield on interest earning assets narrows. Under this scenario the degree of margin compression is highly dependent on the Company's ability to fund asset growth through lower cost deposits. However, if the curve is flattening, while short-term rates are rising, the adverse impact on margin may be somewhat delayed, as increases in the Prime Rate will initially result in the Company's asset yields re-pricing more quickly than funding costs.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an inverted yield curve situation, shorter-term rates exceed longer-term rates, and the impact on margin is similar but more adverse than the flat curve scenario. Again, however, the extent of the impact on margin is highly dependent on the Company's balance sheet mix.</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 declining rate environment, margin compression will eventually occur as the yield on interest earning assets decreases more rapidly than decreases in funding costs. The primary causes would be the impact of interest rate decreases (including decreases in the Prime Rate) on adjustable rate loans and the fact that decreases in deposit rates may be limited or lag decreases in the Prime Rate.</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There have been no material changes in the results of the Company's net interest income sensitivity analysis as reported in the Company's 2016 Annual Report on Form 10-K. At September 30, 2016, management continues to consider the Company's primary interest rate risk exposure to be margin compression that may result from changes in interest rates and/or changes in the mix of the Company's balance sheet components. This would include the mix of fixed versus variable rate loans and investments on the asset side, and higher cost versus lower cost deposits and overnight borrowings versus term borrowings and certificates of deposit on the liability side.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September 30, 2016.</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September 30, 2016 that have materially affected, or is reasonably likely to materially affect, the Company’s internal controls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There have been no material changes to the risk factors disclosed in Item 1A of the Company’s Form 10-K for the year ended June 30, 2016.</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1120"/>
        <w:spacing w:after="0" w:line="277" w:lineRule="auto"/>
        <w:rPr>
          <w:sz w:val="20"/>
          <w:szCs w:val="20"/>
          <w:color w:val="auto"/>
        </w:rPr>
      </w:pPr>
      <w:r>
        <w:rPr>
          <w:rFonts w:ascii="Arial" w:cs="Arial" w:eastAsia="Arial" w:hAnsi="Arial"/>
          <w:sz w:val="18"/>
          <w:szCs w:val="18"/>
          <w:color w:val="auto"/>
        </w:rPr>
        <w:t>The following table sets forth information with respect to purchases made by the Company of its common stock during the three months ended September 30,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that May Yet</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Total Number</w:t>
            </w: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Be</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Paid Per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Under</w:t>
            </w:r>
          </w:p>
        </w:tc>
        <w:tc>
          <w:tcPr>
            <w:tcW w:w="10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Purchased (1)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Program</w:t>
            </w:r>
          </w:p>
        </w:tc>
        <w:tc>
          <w:tcPr>
            <w:tcW w:w="10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1,324,762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645,238</w:t>
            </w:r>
          </w:p>
        </w:tc>
        <w:tc>
          <w:tcPr>
            <w:tcW w:w="10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Aug. 1 – Aug. 31</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1,324,762</w:t>
            </w:r>
          </w:p>
        </w:tc>
        <w:tc>
          <w:tcPr>
            <w:tcW w:w="1260" w:type="dxa"/>
            <w:vAlign w:val="bottom"/>
          </w:tcPr>
          <w:p>
            <w:pPr>
              <w:jc w:val="right"/>
              <w:spacing w:after="0"/>
              <w:rPr>
                <w:sz w:val="20"/>
                <w:szCs w:val="20"/>
                <w:color w:val="auto"/>
              </w:rPr>
            </w:pPr>
            <w:r>
              <w:rPr>
                <w:rFonts w:ascii="Arial" w:cs="Arial" w:eastAsia="Arial" w:hAnsi="Arial"/>
                <w:sz w:val="18"/>
                <w:szCs w:val="18"/>
                <w:color w:val="auto"/>
              </w:rPr>
              <w:t>645,238</w:t>
            </w:r>
          </w:p>
        </w:tc>
        <w:tc>
          <w:tcPr>
            <w:tcW w:w="1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Sep. 1 - Sep. 30</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645,238</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10.75</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(1)   Based on trade date, not settlement date</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840" w:type="dxa"/>
            <w:vAlign w:val="bottom"/>
            <w:gridSpan w:val="3"/>
          </w:tcPr>
          <w:p>
            <w:pPr>
              <w:ind w:left="280"/>
              <w:spacing w:after="0"/>
              <w:rPr>
                <w:sz w:val="20"/>
                <w:szCs w:val="20"/>
                <w:color w:val="auto"/>
              </w:rPr>
            </w:pPr>
            <w:r>
              <w:rPr>
                <w:rFonts w:ascii="Arial" w:cs="Arial" w:eastAsia="Arial" w:hAnsi="Arial"/>
                <w:sz w:val="18"/>
                <w:szCs w:val="18"/>
                <w:b w:val="1"/>
                <w:bCs w:val="1"/>
                <w:color w:val="auto"/>
              </w:rPr>
              <w:t>Defaults Upon Senior Securities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840" w:type="dxa"/>
            <w:vAlign w:val="bottom"/>
            <w:gridSpan w:val="3"/>
          </w:tcPr>
          <w:p>
            <w:pPr>
              <w:ind w:left="2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840" w:type="dxa"/>
            <w:vAlign w:val="bottom"/>
            <w:gridSpan w:val="3"/>
          </w:tcPr>
          <w:p>
            <w:pPr>
              <w:ind w:left="280"/>
              <w:spacing w:after="0"/>
              <w:rPr>
                <w:sz w:val="20"/>
                <w:szCs w:val="20"/>
                <w:color w:val="auto"/>
              </w:rPr>
            </w:pPr>
            <w:r>
              <w:rPr>
                <w:rFonts w:ascii="Arial" w:cs="Arial" w:eastAsia="Arial" w:hAnsi="Arial"/>
                <w:sz w:val="18"/>
                <w:szCs w:val="18"/>
                <w:b w:val="1"/>
                <w:bCs w:val="1"/>
                <w:color w:val="auto"/>
              </w:rPr>
              <w:t>Mine Safety Disclosures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840" w:type="dxa"/>
            <w:vAlign w:val="bottom"/>
            <w:gridSpan w:val="3"/>
          </w:tcPr>
          <w:p>
            <w:pPr>
              <w:ind w:left="280"/>
              <w:spacing w:after="0"/>
              <w:rPr>
                <w:sz w:val="20"/>
                <w:szCs w:val="20"/>
                <w:color w:val="auto"/>
              </w:rPr>
            </w:pPr>
            <w:r>
              <w:rPr>
                <w:rFonts w:ascii="Arial" w:cs="Arial" w:eastAsia="Arial" w:hAnsi="Arial"/>
                <w:sz w:val="18"/>
                <w:szCs w:val="18"/>
                <w:color w:val="auto"/>
              </w:rPr>
              <w:t>Not applicable.</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840" w:type="dxa"/>
            <w:vAlign w:val="bottom"/>
            <w:gridSpan w:val="3"/>
          </w:tcPr>
          <w:p>
            <w:pPr>
              <w:ind w:left="28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840" w:type="dxa"/>
            <w:vAlign w:val="bottom"/>
            <w:gridSpan w:val="3"/>
          </w:tcPr>
          <w:p>
            <w:pPr>
              <w:ind w:left="2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40" w:type="dxa"/>
            <w:vAlign w:val="bottom"/>
            <w:gridSpan w:val="3"/>
          </w:tcPr>
          <w:p>
            <w:pPr>
              <w:ind w:left="28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Description</w:t>
      </w:r>
    </w:p>
    <w:p>
      <w:pPr>
        <w:spacing w:after="0" w:line="225" w:lineRule="exact"/>
        <w:rPr>
          <w:sz w:val="20"/>
          <w:szCs w:val="20"/>
          <w:color w:val="auto"/>
        </w:rPr>
      </w:pPr>
    </w:p>
    <w:p>
      <w:pPr>
        <w:ind w:left="2040" w:right="1240" w:hanging="833"/>
        <w:spacing w:after="0" w:line="258" w:lineRule="auto"/>
        <w:tabs>
          <w:tab w:leader="none" w:pos="2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Performance-Based Restricted Stock Agreement, dated August 25, 2016, by and between Northeast Bancorp and Richard Wayne. *</w:t>
      </w:r>
    </w:p>
    <w:p>
      <w:pPr>
        <w:spacing w:after="0" w:line="1" w:lineRule="exact"/>
        <w:rPr>
          <w:sz w:val="20"/>
          <w:szCs w:val="20"/>
          <w:color w:val="auto"/>
        </w:rPr>
      </w:pPr>
    </w:p>
    <w:p>
      <w:pPr>
        <w:ind w:left="2040" w:right="1120" w:hanging="737"/>
        <w:spacing w:after="0" w:line="250" w:lineRule="auto"/>
        <w:tabs>
          <w:tab w:leader="none" w:pos="2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Section 302 of the Sarbanes-Oxley Act of 2002 (Rule 13a-14(a)). *</w:t>
      </w:r>
    </w:p>
    <w:p>
      <w:pPr>
        <w:spacing w:after="0" w:line="1" w:lineRule="exact"/>
        <w:rPr>
          <w:sz w:val="20"/>
          <w:szCs w:val="20"/>
          <w:color w:val="auto"/>
        </w:rPr>
      </w:pPr>
    </w:p>
    <w:p>
      <w:pPr>
        <w:ind w:left="2040" w:right="1180" w:hanging="737"/>
        <w:spacing w:after="0" w:line="250" w:lineRule="auto"/>
        <w:tabs>
          <w:tab w:leader="none" w:pos="2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Section 302 of the Sarbanes-Oxley Act of 2002 (Rule 13a-14(a)). *</w:t>
      </w:r>
    </w:p>
    <w:p>
      <w:pPr>
        <w:spacing w:after="0" w:line="1" w:lineRule="exact"/>
        <w:rPr>
          <w:sz w:val="20"/>
          <w:szCs w:val="20"/>
          <w:color w:val="auto"/>
        </w:rPr>
      </w:pPr>
    </w:p>
    <w:p>
      <w:pPr>
        <w:ind w:left="2040" w:right="1000" w:hanging="737"/>
        <w:spacing w:after="0" w:line="250" w:lineRule="auto"/>
        <w:tabs>
          <w:tab w:leader="none" w:pos="2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2040" w:right="780" w:hanging="737"/>
        <w:spacing w:after="0" w:line="250" w:lineRule="auto"/>
        <w:tabs>
          <w:tab w:leader="none" w:pos="2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2040" w:right="760" w:hanging="722"/>
        <w:spacing w:after="0" w:line="252" w:lineRule="auto"/>
        <w:tabs>
          <w:tab w:leader="none" w:pos="2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September 30, 2016 formatted in XBRL: (i) Consolidated Balance Sheets at September 30, 2016 and June 30, 2016; (ii) Consolidated Statements of Income for the three months ended September 30, 2016 and 2015; (iii) Consolidated Statements of Comprehensive Income for the three months ended September 30, 2016 and 2015; (iv) Consolidated Statements of Changes in Shareholders’ Equity for the three months ended September 30, 2016 and 2015; (v) Consolidated Statements of Cash Flows for the three months ended September 30, 2016 and 2015; and (v) Notes to Unaudited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 Management contract or compensatory plan or agreement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Arial" w:cs="Arial" w:eastAsia="Arial" w:hAnsi="Arial"/>
                <w:sz w:val="18"/>
                <w:szCs w:val="18"/>
                <w:color w:val="auto"/>
              </w:rPr>
              <w:t>Date: November 9, 2016</w:t>
            </w:r>
          </w:p>
        </w:tc>
        <w:tc>
          <w:tcPr>
            <w:tcW w:w="346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NORTHEAST BANCORP</w:t>
            </w:r>
          </w:p>
        </w:tc>
      </w:tr>
      <w:tr>
        <w:trPr>
          <w:trHeight w:val="190"/>
        </w:trPr>
        <w:tc>
          <w:tcPr>
            <w:tcW w:w="3700" w:type="dxa"/>
            <w:vAlign w:val="bottom"/>
          </w:tcPr>
          <w:p>
            <w:pPr>
              <w:spacing w:after="0"/>
              <w:rPr>
                <w:sz w:val="16"/>
                <w:szCs w:val="16"/>
                <w:color w:val="auto"/>
              </w:rPr>
            </w:pPr>
          </w:p>
        </w:tc>
        <w:tc>
          <w:tcPr>
            <w:tcW w:w="7760" w:type="dxa"/>
            <w:vAlign w:val="bottom"/>
            <w:gridSpan w:val="4"/>
          </w:tcPr>
          <w:p>
            <w:pPr>
              <w:ind w:left="3200"/>
              <w:spacing w:after="0" w:line="190" w:lineRule="exact"/>
              <w:rPr>
                <w:sz w:val="20"/>
                <w:szCs w:val="20"/>
                <w:color w:val="auto"/>
              </w:rPr>
            </w:pPr>
            <w:r>
              <w:rPr>
                <w:rFonts w:ascii="Arial" w:cs="Arial" w:eastAsia="Arial" w:hAnsi="Arial"/>
                <w:sz w:val="18"/>
                <w:szCs w:val="18"/>
                <w:color w:val="auto"/>
              </w:rPr>
              <w:t>By:/s/ Richard Wayne</w:t>
            </w:r>
          </w:p>
        </w:tc>
      </w:tr>
      <w:tr>
        <w:trPr>
          <w:trHeight w:val="222"/>
        </w:trPr>
        <w:tc>
          <w:tcPr>
            <w:tcW w:w="3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Richard Wayne</w:t>
            </w:r>
          </w:p>
        </w:tc>
        <w:tc>
          <w:tcPr>
            <w:tcW w:w="2980" w:type="dxa"/>
            <w:vAlign w:val="bottom"/>
            <w:gridSpan w:val="2"/>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00" w:type="dxa"/>
            <w:vAlign w:val="bottom"/>
            <w:gridSpan w:val="3"/>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92"/>
        </w:trPr>
        <w:tc>
          <w:tcPr>
            <w:tcW w:w="3700" w:type="dxa"/>
            <w:vAlign w:val="bottom"/>
          </w:tcPr>
          <w:p>
            <w:pPr>
              <w:spacing w:after="0"/>
              <w:rPr>
                <w:sz w:val="24"/>
                <w:szCs w:val="24"/>
                <w:color w:val="auto"/>
              </w:rPr>
            </w:pPr>
          </w:p>
        </w:tc>
        <w:tc>
          <w:tcPr>
            <w:tcW w:w="7760" w:type="dxa"/>
            <w:vAlign w:val="bottom"/>
            <w:gridSpan w:val="4"/>
          </w:tcPr>
          <w:p>
            <w:pPr>
              <w:ind w:left="3200"/>
              <w:spacing w:after="0"/>
              <w:rPr>
                <w:sz w:val="20"/>
                <w:szCs w:val="20"/>
                <w:color w:val="auto"/>
              </w:rPr>
            </w:pPr>
            <w:r>
              <w:rPr>
                <w:rFonts w:ascii="Arial" w:cs="Arial" w:eastAsia="Arial" w:hAnsi="Arial"/>
                <w:sz w:val="18"/>
                <w:szCs w:val="18"/>
                <w:color w:val="auto"/>
              </w:rPr>
              <w:t>By:/s/ Brian Shaughnessy</w:t>
            </w:r>
          </w:p>
        </w:tc>
      </w:tr>
      <w:tr>
        <w:trPr>
          <w:trHeight w:val="222"/>
        </w:trPr>
        <w:tc>
          <w:tcPr>
            <w:tcW w:w="3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6"/>
              </w:rPr>
              <w:t>Brian Shaughnessy</w:t>
            </w:r>
          </w:p>
        </w:tc>
        <w:tc>
          <w:tcPr>
            <w:tcW w:w="27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0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675"/>
        </w:trPr>
        <w:tc>
          <w:tcPr>
            <w:tcW w:w="3700" w:type="dxa"/>
            <w:vAlign w:val="bottom"/>
          </w:tcPr>
          <w:p>
            <w:pPr>
              <w:spacing w:after="0"/>
              <w:rPr>
                <w:sz w:val="24"/>
                <w:szCs w:val="24"/>
                <w:color w:val="auto"/>
              </w:rPr>
            </w:pPr>
          </w:p>
        </w:tc>
        <w:tc>
          <w:tcPr>
            <w:tcW w:w="3460" w:type="dxa"/>
            <w:vAlign w:val="bottom"/>
          </w:tcPr>
          <w:p>
            <w:pPr>
              <w:jc w:val="right"/>
              <w:ind w:right="1270"/>
              <w:spacing w:after="0"/>
              <w:rPr>
                <w:sz w:val="20"/>
                <w:szCs w:val="20"/>
                <w:color w:val="auto"/>
              </w:rPr>
            </w:pPr>
            <w:r>
              <w:rPr>
                <w:rFonts w:ascii="Arial" w:cs="Arial" w:eastAsia="Arial" w:hAnsi="Arial"/>
                <w:sz w:val="18"/>
                <w:szCs w:val="18"/>
                <w:color w:val="auto"/>
              </w:rPr>
              <w:t>42</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05"/>
        </w:trPr>
        <w:tc>
          <w:tcPr>
            <w:tcW w:w="37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61"/>
        </w:trPr>
        <w:tc>
          <w:tcPr>
            <w:tcW w:w="37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Index to Exhibits</w:t>
      </w:r>
    </w:p>
    <w:p>
      <w:pPr>
        <w:spacing w:after="0" w:line="265"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Description</w:t>
      </w:r>
    </w:p>
    <w:p>
      <w:pPr>
        <w:spacing w:after="0" w:line="225" w:lineRule="exact"/>
        <w:rPr>
          <w:sz w:val="20"/>
          <w:szCs w:val="20"/>
          <w:color w:val="auto"/>
        </w:rPr>
      </w:pPr>
    </w:p>
    <w:p>
      <w:pPr>
        <w:ind w:left="2040" w:right="480" w:hanging="833"/>
        <w:spacing w:after="0" w:line="258" w:lineRule="auto"/>
        <w:tabs>
          <w:tab w:leader="none" w:pos="2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Performance-Based Restricted Stock Agreement, dated August 25, 2016, by and between Northeast Bancorp and Richard Wayne. *</w:t>
      </w:r>
    </w:p>
    <w:p>
      <w:pPr>
        <w:spacing w:after="0" w:line="1" w:lineRule="exact"/>
        <w:rPr>
          <w:sz w:val="20"/>
          <w:szCs w:val="20"/>
          <w:color w:val="auto"/>
        </w:rPr>
      </w:pPr>
    </w:p>
    <w:p>
      <w:pPr>
        <w:ind w:left="2040" w:right="360" w:hanging="737"/>
        <w:spacing w:after="0" w:line="250" w:lineRule="auto"/>
        <w:tabs>
          <w:tab w:leader="none" w:pos="2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Section 302 of the Sarbanes-Oxley Act of 2002 (Rule 13a-14(a)). *</w:t>
      </w:r>
    </w:p>
    <w:p>
      <w:pPr>
        <w:spacing w:after="0" w:line="1" w:lineRule="exact"/>
        <w:rPr>
          <w:sz w:val="20"/>
          <w:szCs w:val="20"/>
          <w:color w:val="auto"/>
        </w:rPr>
      </w:pPr>
    </w:p>
    <w:p>
      <w:pPr>
        <w:ind w:left="2040" w:right="420" w:hanging="737"/>
        <w:spacing w:after="0" w:line="250" w:lineRule="auto"/>
        <w:tabs>
          <w:tab w:leader="none" w:pos="2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Section 302 of the Sarbanes-Oxley Act of 2002 (Rule 13a-14(a)). *</w:t>
      </w:r>
    </w:p>
    <w:p>
      <w:pPr>
        <w:spacing w:after="0" w:line="1" w:lineRule="exact"/>
        <w:rPr>
          <w:sz w:val="20"/>
          <w:szCs w:val="20"/>
          <w:color w:val="auto"/>
        </w:rPr>
      </w:pPr>
    </w:p>
    <w:p>
      <w:pPr>
        <w:ind w:left="2040" w:right="240" w:hanging="737"/>
        <w:spacing w:after="0" w:line="250" w:lineRule="auto"/>
        <w:tabs>
          <w:tab w:leader="none" w:pos="2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2040" w:right="20" w:hanging="737"/>
        <w:spacing w:after="0" w:line="250" w:lineRule="auto"/>
        <w:tabs>
          <w:tab w:leader="none" w:pos="2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2040" w:hanging="722"/>
        <w:spacing w:after="0" w:line="252" w:lineRule="auto"/>
        <w:tabs>
          <w:tab w:leader="none" w:pos="2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September 30, 2016 formatted in XBRL: (i) Consolidated Balance Sheets at September 30, 2016 and June 30, 2016; (ii) Consolidated Statements of Income for the three months ended September 30, 2016 and 2015; (iii) Consolidated Statements of Comprehensive Income for the three months ended September 30, 2016 and 2015; (iv) Consolidated Statements of Changes in Shareholders’ Equity for the three months ended September 30, 2016 and 2015; (v) Consolidated Statements of Cash Flows for the three months ended September 30, 2016 and 2015; and (v) Notes to Unaudited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agreement</w:t>
      </w:r>
    </w:p>
    <w:p>
      <w:pPr>
        <w:spacing w:after="0" w:line="21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660"/>
          </w:cols>
          <w:pgMar w:left="240" w:top="118"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220" w:type="dxa"/>
            <w:vAlign w:val="bottom"/>
          </w:tcPr>
          <w:p>
            <w:pPr>
              <w:jc w:val="center"/>
              <w:ind w:right="1852"/>
              <w:spacing w:after="0"/>
              <w:rPr>
                <w:sz w:val="20"/>
                <w:szCs w:val="20"/>
                <w:color w:val="auto"/>
              </w:rPr>
            </w:pPr>
            <w:r>
              <w:rPr>
                <w:rFonts w:ascii="Arial" w:cs="Arial" w:eastAsia="Arial" w:hAnsi="Arial"/>
                <w:sz w:val="22"/>
                <w:szCs w:val="22"/>
                <w:b w:val="1"/>
                <w:bCs w:val="1"/>
                <w:color w:val="auto"/>
                <w:w w:val="98"/>
              </w:rPr>
              <w:t>PERFORMANCE</w:t>
            </w:r>
          </w:p>
        </w:tc>
      </w:tr>
      <w:tr>
        <w:trPr>
          <w:trHeight w:val="270"/>
        </w:trPr>
        <w:tc>
          <w:tcPr>
            <w:tcW w:w="2300" w:type="dxa"/>
            <w:vAlign w:val="bottom"/>
          </w:tcPr>
          <w:p>
            <w:pPr>
              <w:spacing w:after="0"/>
              <w:rPr>
                <w:sz w:val="23"/>
                <w:szCs w:val="23"/>
                <w:color w:val="auto"/>
              </w:rPr>
            </w:pPr>
          </w:p>
        </w:tc>
        <w:tc>
          <w:tcPr>
            <w:tcW w:w="6500" w:type="dxa"/>
            <w:vAlign w:val="bottom"/>
            <w:gridSpan w:val="2"/>
          </w:tcPr>
          <w:p>
            <w:pPr>
              <w:jc w:val="center"/>
              <w:ind w:left="222"/>
              <w:spacing w:after="0"/>
              <w:rPr>
                <w:sz w:val="20"/>
                <w:szCs w:val="20"/>
                <w:color w:val="auto"/>
              </w:rPr>
            </w:pPr>
            <w:r>
              <w:rPr>
                <w:rFonts w:ascii="Arial" w:cs="Arial" w:eastAsia="Arial" w:hAnsi="Arial"/>
                <w:sz w:val="22"/>
                <w:szCs w:val="22"/>
                <w:b w:val="1"/>
                <w:bCs w:val="1"/>
                <w:color w:val="auto"/>
                <w:w w:val="98"/>
              </w:rPr>
              <w:t>RESTRICTED STOCK AWARD AGREEMENT</w:t>
            </w:r>
          </w:p>
        </w:tc>
      </w:tr>
      <w:tr>
        <w:trPr>
          <w:trHeight w:val="270"/>
        </w:trPr>
        <w:tc>
          <w:tcPr>
            <w:tcW w:w="2300" w:type="dxa"/>
            <w:vAlign w:val="bottom"/>
          </w:tcPr>
          <w:p>
            <w:pPr>
              <w:spacing w:after="0"/>
              <w:rPr>
                <w:sz w:val="23"/>
                <w:szCs w:val="23"/>
                <w:color w:val="auto"/>
              </w:rPr>
            </w:pPr>
          </w:p>
        </w:tc>
        <w:tc>
          <w:tcPr>
            <w:tcW w:w="6500" w:type="dxa"/>
            <w:vAlign w:val="bottom"/>
            <w:gridSpan w:val="2"/>
          </w:tcPr>
          <w:p>
            <w:pPr>
              <w:jc w:val="center"/>
              <w:ind w:left="222"/>
              <w:spacing w:after="0"/>
              <w:rPr>
                <w:sz w:val="20"/>
                <w:szCs w:val="20"/>
                <w:color w:val="auto"/>
              </w:rPr>
            </w:pPr>
            <w:r>
              <w:rPr>
                <w:rFonts w:ascii="Arial" w:cs="Arial" w:eastAsia="Arial" w:hAnsi="Arial"/>
                <w:sz w:val="22"/>
                <w:szCs w:val="22"/>
                <w:b w:val="1"/>
                <w:bCs w:val="1"/>
                <w:color w:val="auto"/>
                <w:w w:val="97"/>
              </w:rPr>
              <w:t>UNDER NORTHEAST BANCORP AMENDED AND RESTATED</w:t>
            </w:r>
          </w:p>
        </w:tc>
      </w:tr>
      <w:tr>
        <w:trPr>
          <w:trHeight w:val="281"/>
        </w:trPr>
        <w:tc>
          <w:tcPr>
            <w:tcW w:w="2300" w:type="dxa"/>
            <w:vAlign w:val="bottom"/>
          </w:tcPr>
          <w:p>
            <w:pPr>
              <w:spacing w:after="0"/>
              <w:rPr>
                <w:sz w:val="24"/>
                <w:szCs w:val="24"/>
                <w:color w:val="auto"/>
              </w:rPr>
            </w:pPr>
          </w:p>
        </w:tc>
        <w:tc>
          <w:tcPr>
            <w:tcW w:w="6500" w:type="dxa"/>
            <w:vAlign w:val="bottom"/>
            <w:gridSpan w:val="2"/>
          </w:tcPr>
          <w:p>
            <w:pPr>
              <w:jc w:val="center"/>
              <w:ind w:left="222"/>
              <w:spacing w:after="0"/>
              <w:rPr>
                <w:sz w:val="20"/>
                <w:szCs w:val="20"/>
                <w:color w:val="auto"/>
              </w:rPr>
            </w:pPr>
            <w:r>
              <w:rPr>
                <w:rFonts w:ascii="Arial" w:cs="Arial" w:eastAsia="Arial" w:hAnsi="Arial"/>
                <w:sz w:val="22"/>
                <w:szCs w:val="22"/>
                <w:b w:val="1"/>
                <w:bCs w:val="1"/>
                <w:color w:val="auto"/>
                <w:w w:val="98"/>
              </w:rPr>
              <w:t>2010 STOCK OPTION AND INCENTIVE PLAN</w:t>
            </w:r>
          </w:p>
        </w:tc>
      </w:tr>
      <w:tr>
        <w:trPr>
          <w:trHeight w:val="679"/>
        </w:trPr>
        <w:tc>
          <w:tcPr>
            <w:tcW w:w="2300" w:type="dxa"/>
            <w:vAlign w:val="bottom"/>
          </w:tcPr>
          <w:p>
            <w:pPr>
              <w:spacing w:after="0"/>
              <w:rPr>
                <w:sz w:val="20"/>
                <w:szCs w:val="20"/>
                <w:color w:val="auto"/>
              </w:rPr>
            </w:pPr>
            <w:r>
              <w:rPr>
                <w:rFonts w:ascii="Arial" w:cs="Arial" w:eastAsia="Arial" w:hAnsi="Arial"/>
                <w:sz w:val="18"/>
                <w:szCs w:val="18"/>
                <w:color w:val="auto"/>
              </w:rPr>
              <w:t>Name of Grantee:</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Wayne</w:t>
            </w:r>
          </w:p>
        </w:tc>
        <w:tc>
          <w:tcPr>
            <w:tcW w:w="4220" w:type="dxa"/>
            <w:vAlign w:val="bottom"/>
          </w:tcPr>
          <w:p>
            <w:pPr>
              <w:spacing w:after="0"/>
              <w:rPr>
                <w:sz w:val="24"/>
                <w:szCs w:val="24"/>
                <w:color w:val="auto"/>
              </w:rPr>
            </w:pP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Type of Stock:</w:t>
            </w:r>
          </w:p>
        </w:tc>
        <w:tc>
          <w:tcPr>
            <w:tcW w:w="6500" w:type="dxa"/>
            <w:vAlign w:val="bottom"/>
            <w:gridSpan w:val="2"/>
          </w:tcPr>
          <w:p>
            <w:pPr>
              <w:spacing w:after="0"/>
              <w:rPr>
                <w:sz w:val="20"/>
                <w:szCs w:val="20"/>
                <w:color w:val="auto"/>
              </w:rPr>
            </w:pPr>
            <w:r>
              <w:rPr>
                <w:rFonts w:ascii="Arial" w:cs="Arial" w:eastAsia="Arial" w:hAnsi="Arial"/>
                <w:sz w:val="18"/>
                <w:szCs w:val="18"/>
                <w:color w:val="auto"/>
              </w:rPr>
              <w:t>Voting Common Stock</w:t>
            </w: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No. of Shares:</w:t>
            </w:r>
          </w:p>
        </w:tc>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50,000</w:t>
            </w:r>
          </w:p>
        </w:tc>
        <w:tc>
          <w:tcPr>
            <w:tcW w:w="4220" w:type="dxa"/>
            <w:vAlign w:val="bottom"/>
          </w:tcPr>
          <w:p>
            <w:pPr>
              <w:spacing w:after="0"/>
              <w:rPr>
                <w:sz w:val="24"/>
                <w:szCs w:val="24"/>
                <w:color w:val="auto"/>
              </w:rPr>
            </w:pP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Grant Date:</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25, 2016</w:t>
            </w:r>
          </w:p>
        </w:tc>
        <w:tc>
          <w:tcPr>
            <w:tcW w:w="4220" w:type="dxa"/>
            <w:vAlign w:val="bottom"/>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Pursuant to the Northeast Bancorp Amended and Restated 2010 Stock Option and Incentive Plan (the “Plan”) as amended through the date hereof, Northeast Bancorp (the “Company”) hereby grants a Restricted Stock Award (an “Award”) to the Grantee named above. Upon acceptance of this Award, the Grantee shall receive the number of shares of Voting Common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8" w:lineRule="exact"/>
        <w:rPr>
          <w:sz w:val="20"/>
          <w:szCs w:val="20"/>
          <w:color w:val="auto"/>
        </w:rPr>
      </w:pPr>
    </w:p>
    <w:p>
      <w:pPr>
        <w:ind w:right="60" w:firstLine="656"/>
        <w:spacing w:after="0" w:line="302" w:lineRule="auto"/>
        <w:tabs>
          <w:tab w:leader="none" w:pos="100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below. The Grantee shall (i) sign and deliver to the Company a copy of this Award Agreement and (ii) deliver to the Company a stock power endorsed in blank.</w:t>
      </w:r>
    </w:p>
    <w:p>
      <w:pPr>
        <w:spacing w:after="0" w:line="154" w:lineRule="exact"/>
        <w:rPr>
          <w:rFonts w:ascii="Arial" w:cs="Arial" w:eastAsia="Arial" w:hAnsi="Arial"/>
          <w:sz w:val="16"/>
          <w:szCs w:val="16"/>
          <w:color w:val="auto"/>
        </w:rPr>
      </w:pPr>
    </w:p>
    <w:p>
      <w:pPr>
        <w:ind w:left="1020" w:hanging="36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20" w:firstLine="1305"/>
        <w:spacing w:after="0" w:line="308" w:lineRule="auto"/>
        <w:tabs>
          <w:tab w:leader="none" w:pos="1711"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46" w:lineRule="exact"/>
        <w:rPr>
          <w:rFonts w:ascii="Arial" w:cs="Arial" w:eastAsia="Arial" w:hAnsi="Arial"/>
          <w:sz w:val="17"/>
          <w:szCs w:val="17"/>
          <w:color w:val="auto"/>
        </w:rPr>
      </w:pPr>
    </w:p>
    <w:p>
      <w:pPr>
        <w:ind w:right="120" w:firstLine="1305"/>
        <w:spacing w:after="0" w:line="277" w:lineRule="auto"/>
        <w:tabs>
          <w:tab w:leader="none" w:pos="1731"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Shares of Restricted Stock granted herein may not be sold, assigned, transferred, pledged or otherwise encumbered or disposed of by the Grantee prior to vesting.</w:t>
      </w:r>
    </w:p>
    <w:p>
      <w:pPr>
        <w:spacing w:after="0" w:line="170" w:lineRule="exact"/>
        <w:rPr>
          <w:rFonts w:ascii="Arial" w:cs="Arial" w:eastAsia="Arial" w:hAnsi="Arial"/>
          <w:sz w:val="18"/>
          <w:szCs w:val="18"/>
          <w:color w:val="auto"/>
        </w:rPr>
      </w:pPr>
    </w:p>
    <w:p>
      <w:pPr>
        <w:ind w:right="100" w:firstLine="1305"/>
        <w:spacing w:after="0" w:line="279" w:lineRule="auto"/>
        <w:tabs>
          <w:tab w:leader="none" w:pos="1721"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Except as otherwise set forth below or as described in </w:t>
      </w:r>
      <w:r>
        <w:rPr>
          <w:rFonts w:ascii="Arial" w:cs="Arial" w:eastAsia="Arial" w:hAnsi="Arial"/>
          <w:sz w:val="17"/>
          <w:szCs w:val="17"/>
          <w:u w:val="single" w:color="auto"/>
          <w:color w:val="auto"/>
        </w:rPr>
        <w:t>Exhibit A</w:t>
      </w:r>
      <w:r>
        <w:rPr>
          <w:rFonts w:ascii="Arial" w:cs="Arial" w:eastAsia="Arial" w:hAnsi="Arial"/>
          <w:sz w:val="17"/>
          <w:szCs w:val="17"/>
          <w:color w:val="auto"/>
        </w:rPr>
        <w:t>, if the Grantee’s employment with the Company and its Subsidiaries is voluntarily or involuntarily terminated for any reason prior to vesting of shares of Restricted Stock granted herein, all shares of Restricted Stock shall immediately and automatically be forfeited and returned to the Company. The Administrator’s determination of the reason for termination of the Grantee’s employment shall be conclusive and binding on the Grantee and his or her representatives or legatees.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right="40" w:firstLine="656"/>
        <w:spacing w:after="0" w:line="257" w:lineRule="auto"/>
        <w:tabs>
          <w:tab w:leader="none" w:pos="100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w:t>
      </w:r>
      <w:r>
        <w:rPr>
          <w:rFonts w:ascii="Arial" w:cs="Arial" w:eastAsia="Arial" w:hAnsi="Arial"/>
          <w:sz w:val="18"/>
          <w:szCs w:val="18"/>
          <w:color w:val="auto"/>
        </w:rPr>
        <w:t xml:space="preserve">. The restrictions and conditions in Paragraph 2 of this Agreement shall lapse based on the Company’s performance during the period beginning on July 1, 2016 and ending on June 30, 2019 (the “Cumulative Measurement Period”), and during each fiscal year during the Cumulative Measurement Period (each, an “Annual Measurement Period,” and each of the Cumulative Measurement Period and each Annual Measurement Period shall be referred to herein as a “Measurement Period”). The Shares of Restricted Stock shall vest if, and only to the extent that, the Company achieves the performance targets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number of shares of Restricted Stock set forth above (the “Target Award”) represents the number of shares of Restricted Stock that will vest if the Company achieves target levels of performance, and the actual number of shares of Restricted Stock that may vest could be lower than the Target Award and could be zero. The Grantee shall forfeit any portion of the Target Award that does not vest upon the conclusion of the applicable performance period.</w:t>
      </w:r>
    </w:p>
    <w:p>
      <w:pPr>
        <w:spacing w:after="0" w:line="147" w:lineRule="exact"/>
        <w:rPr>
          <w:sz w:val="20"/>
          <w:szCs w:val="20"/>
          <w:color w:val="auto"/>
        </w:rPr>
      </w:pPr>
    </w:p>
    <w:p>
      <w:pPr>
        <w:jc w:val="both"/>
        <w:ind w:firstLine="656"/>
        <w:spacing w:after="0" w:line="286" w:lineRule="auto"/>
        <w:tabs>
          <w:tab w:leader="none" w:pos="100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Dividends on shares of Restricted Stock shall be accumulated and shall be subject to restrictions, conditions and risk of forfeiture to the same extent as the shares of Restricted Stock granted hereunder. Such accumulated dividends shall be distributed and paid to the Grantee at such time and only to the extent that the Shares subject to this Award shall vest in accordance with Section 3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ind w:right="360" w:firstLine="656"/>
        <w:spacing w:after="0" w:line="264" w:lineRule="auto"/>
        <w:tabs>
          <w:tab w:leader="none" w:pos="100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1" w:lineRule="exact"/>
        <w:rPr>
          <w:rFonts w:ascii="Arial" w:cs="Arial" w:eastAsia="Arial" w:hAnsi="Arial"/>
          <w:sz w:val="18"/>
          <w:szCs w:val="18"/>
          <w:color w:val="auto"/>
        </w:rPr>
      </w:pPr>
    </w:p>
    <w:p>
      <w:pPr>
        <w:ind w:right="420" w:firstLine="656"/>
        <w:spacing w:after="0" w:line="277" w:lineRule="auto"/>
        <w:tabs>
          <w:tab w:leader="none" w:pos="100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70" w:lineRule="exact"/>
        <w:rPr>
          <w:rFonts w:ascii="Arial" w:cs="Arial" w:eastAsia="Arial" w:hAnsi="Arial"/>
          <w:sz w:val="18"/>
          <w:szCs w:val="18"/>
          <w:color w:val="auto"/>
        </w:rPr>
      </w:pPr>
    </w:p>
    <w:p>
      <w:pPr>
        <w:ind w:right="120" w:firstLine="656"/>
        <w:spacing w:after="0" w:line="297" w:lineRule="auto"/>
        <w:tabs>
          <w:tab w:leader="none" w:pos="100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Grantee may elect to have the minimum required tax withholding obligation satisfied, in whole or in part, by authorizing the Company to withhold from shares of Stock to be issued a number of shares of Stock with an aggregate Fair Market Value that would satisfy the minimum withholding amount due..</w:t>
      </w:r>
    </w:p>
    <w:p>
      <w:pPr>
        <w:spacing w:after="0" w:line="158" w:lineRule="exact"/>
        <w:rPr>
          <w:rFonts w:ascii="Arial" w:cs="Arial" w:eastAsia="Arial" w:hAnsi="Arial"/>
          <w:sz w:val="16"/>
          <w:szCs w:val="16"/>
          <w:color w:val="auto"/>
        </w:rPr>
      </w:pPr>
    </w:p>
    <w:p>
      <w:pPr>
        <w:ind w:right="140" w:firstLine="656"/>
        <w:spacing w:after="0" w:line="276" w:lineRule="auto"/>
        <w:tabs>
          <w:tab w:leader="none" w:pos="100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Election Under Section 83(b)</w:t>
      </w:r>
      <w:r>
        <w:rPr>
          <w:rFonts w:ascii="Arial" w:cs="Arial" w:eastAsia="Arial" w:hAnsi="Arial"/>
          <w:sz w:val="17"/>
          <w:szCs w:val="17"/>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8" w:name="page49"/>
    <w:bookmarkEnd w:id="48"/>
    <w:p>
      <w:pPr>
        <w:ind w:left="-40" w:firstLine="656"/>
        <w:spacing w:after="0" w:line="264" w:lineRule="auto"/>
        <w:tabs>
          <w:tab w:leader="none" w:pos="96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81" w:lineRule="exact"/>
        <w:rPr>
          <w:rFonts w:ascii="Arial" w:cs="Arial" w:eastAsia="Arial" w:hAnsi="Arial"/>
          <w:sz w:val="18"/>
          <w:szCs w:val="18"/>
          <w:color w:val="auto"/>
        </w:rPr>
      </w:pPr>
    </w:p>
    <w:p>
      <w:pPr>
        <w:ind w:left="-40" w:right="780" w:firstLine="656"/>
        <w:spacing w:after="0" w:line="277" w:lineRule="auto"/>
        <w:tabs>
          <w:tab w:leader="none" w:pos="105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40" w:right="40" w:firstLine="656"/>
        <w:spacing w:after="0" w:line="290" w:lineRule="auto"/>
        <w:tabs>
          <w:tab w:leader="none" w:pos="105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6" w:lineRule="exact"/>
        <w:rPr>
          <w:rFonts w:ascii="Arial" w:cs="Arial" w:eastAsia="Arial" w:hAnsi="Arial"/>
          <w:sz w:val="16"/>
          <w:szCs w:val="16"/>
          <w:color w:val="auto"/>
        </w:rPr>
      </w:pPr>
    </w:p>
    <w:p>
      <w:pPr>
        <w:ind w:left="-40" w:right="200" w:firstLine="656"/>
        <w:spacing w:after="0" w:line="264" w:lineRule="auto"/>
        <w:tabs>
          <w:tab w:leader="none" w:pos="105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 LEFT BLANK]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49" w:name="page50"/>
    <w:bookmarkEnd w:id="49"/>
    <w:p>
      <w:pPr>
        <w:ind w:left="5720"/>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Robert Glauber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Robert Glauber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Chairman of the Board of Directors</w:t>
      </w:r>
    </w:p>
    <w:p>
      <w:pPr>
        <w:spacing w:after="0" w:line="200" w:lineRule="exact"/>
        <w:rPr>
          <w:sz w:val="20"/>
          <w:szCs w:val="20"/>
          <w:color w:val="auto"/>
        </w:rPr>
      </w:pPr>
    </w:p>
    <w:p>
      <w:pPr>
        <w:spacing w:after="0" w:line="2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Dated: August 25, 2016</w:t>
            </w:r>
          </w:p>
        </w:tc>
        <w:tc>
          <w:tcPr>
            <w:tcW w:w="70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 Richard Wayne</w:t>
            </w:r>
          </w:p>
        </w:tc>
      </w:tr>
      <w:tr>
        <w:trPr>
          <w:trHeight w:val="224"/>
        </w:trPr>
        <w:tc>
          <w:tcPr>
            <w:tcW w:w="580" w:type="dxa"/>
            <w:vAlign w:val="bottom"/>
          </w:tcPr>
          <w:p>
            <w:pPr>
              <w:spacing w:after="0"/>
              <w:rPr>
                <w:sz w:val="19"/>
                <w:szCs w:val="19"/>
                <w:color w:val="auto"/>
              </w:rPr>
            </w:pPr>
          </w:p>
        </w:tc>
        <w:tc>
          <w:tcPr>
            <w:tcW w:w="48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Grantee’s Signature</w:t>
            </w:r>
          </w:p>
        </w:tc>
      </w:tr>
      <w:tr>
        <w:trPr>
          <w:trHeight w:val="634"/>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Grantee’s name and address:</w:t>
            </w: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0"/>
          </w:cols>
          <w:pgMar w:left="240" w:top="584" w:right="9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31.1 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540" w:hanging="33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540" w:right="619" w:hanging="336"/>
        <w:spacing w:after="0" w:line="26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59" w:hanging="336"/>
        <w:spacing w:after="0" w:line="26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540" w:right="339" w:hanging="336"/>
        <w:spacing w:after="0" w:line="26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579" w:hanging="5"/>
        <w:spacing w:after="0" w:line="312" w:lineRule="auto"/>
        <w:tabs>
          <w:tab w:leader="none" w:pos="83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540" w:right="359" w:hanging="5"/>
        <w:spacing w:after="0" w:line="286" w:lineRule="auto"/>
        <w:tabs>
          <w:tab w:leader="none" w:pos="795"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540" w:right="399" w:hanging="5"/>
        <w:spacing w:after="0" w:line="264" w:lineRule="auto"/>
        <w:tabs>
          <w:tab w:leader="none" w:pos="8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40" w:right="759" w:hanging="5"/>
        <w:spacing w:after="0" w:line="312" w:lineRule="auto"/>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540" w:right="319" w:hanging="336"/>
        <w:spacing w:after="0" w:line="26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540" w:right="659" w:hanging="5"/>
        <w:spacing w:after="0" w:line="264"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540" w:right="1039" w:hanging="5"/>
        <w:spacing w:after="0" w:line="277" w:lineRule="auto"/>
        <w:tabs>
          <w:tab w:leader="none" w:pos="8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9, 2016</w:t>
      </w:r>
    </w:p>
    <w:p>
      <w:pPr>
        <w:spacing w:after="0" w:line="23" w:lineRule="exact"/>
        <w:rPr>
          <w:sz w:val="20"/>
          <w:szCs w:val="20"/>
          <w:color w:val="auto"/>
        </w:rPr>
      </w:pPr>
    </w:p>
    <w:p>
      <w:pPr>
        <w:jc w:val="right"/>
        <w:ind w:right="3659"/>
        <w:spacing w:after="0"/>
        <w:rPr>
          <w:sz w:val="20"/>
          <w:szCs w:val="20"/>
          <w:color w:val="auto"/>
        </w:rPr>
      </w:pPr>
      <w:r>
        <w:rPr>
          <w:rFonts w:ascii="Arial" w:cs="Arial" w:eastAsia="Arial" w:hAnsi="Arial"/>
          <w:sz w:val="18"/>
          <w:szCs w:val="18"/>
          <w:u w:val="single" w:color="auto"/>
          <w:color w:val="auto"/>
        </w:rPr>
        <w:t>/s/ Richard Wayne</w:t>
      </w:r>
    </w:p>
    <w:p>
      <w:pPr>
        <w:spacing w:after="0" w:line="9"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19"/>
          </w:cols>
          <w:pgMar w:left="240" w:top="121" w:right="1440" w:bottom="1440" w:gutter="0" w:footer="0" w:header="0"/>
        </w:sectPr>
      </w:pPr>
    </w:p>
    <w:bookmarkStart w:id="51" w:name="page52"/>
    <w:bookmarkEnd w:id="51"/>
    <w:p>
      <w:pPr>
        <w:spacing w:after="0"/>
        <w:tabs>
          <w:tab w:leader="none" w:pos="11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25" w:lineRule="exact"/>
        <w:rPr>
          <w:sz w:val="20"/>
          <w:szCs w:val="20"/>
          <w:color w:val="auto"/>
        </w:rPr>
      </w:pPr>
    </w:p>
    <w:p>
      <w:pPr>
        <w:ind w:left="540" w:hanging="33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540" w:right="619" w:hanging="336"/>
        <w:spacing w:after="0" w:line="26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59" w:hanging="336"/>
        <w:spacing w:after="0" w:line="26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540" w:right="339" w:hanging="336"/>
        <w:spacing w:after="0" w:line="26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579" w:hanging="5"/>
        <w:spacing w:after="0" w:line="312" w:lineRule="auto"/>
        <w:tabs>
          <w:tab w:leader="none" w:pos="83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540" w:right="359" w:hanging="5"/>
        <w:spacing w:after="0" w:line="286" w:lineRule="auto"/>
        <w:tabs>
          <w:tab w:leader="none" w:pos="795"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540" w:right="399" w:hanging="5"/>
        <w:spacing w:after="0" w:line="264" w:lineRule="auto"/>
        <w:tabs>
          <w:tab w:leader="none" w:pos="8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40" w:right="759" w:hanging="5"/>
        <w:spacing w:after="0" w:line="312" w:lineRule="auto"/>
        <w:tabs>
          <w:tab w:leader="none" w:pos="8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540" w:right="319" w:hanging="336"/>
        <w:spacing w:after="0" w:line="26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540" w:right="659" w:hanging="5"/>
        <w:spacing w:after="0" w:line="264"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540" w:right="1039" w:hanging="5"/>
        <w:spacing w:after="0" w:line="277" w:lineRule="auto"/>
        <w:tabs>
          <w:tab w:leader="none" w:pos="8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rPr>
              <w:t>November 9, 2016</w:t>
            </w:r>
          </w:p>
        </w:tc>
        <w:tc>
          <w:tcPr>
            <w:tcW w:w="3740" w:type="dxa"/>
            <w:vAlign w:val="bottom"/>
            <w:gridSpan w:val="3"/>
          </w:tcPr>
          <w:p>
            <w:pPr>
              <w:ind w:left="1840"/>
              <w:spacing w:after="0"/>
              <w:rPr>
                <w:sz w:val="20"/>
                <w:szCs w:val="20"/>
                <w:color w:val="auto"/>
              </w:rPr>
            </w:pPr>
            <w:r>
              <w:rPr>
                <w:rFonts w:ascii="Arial" w:cs="Arial" w:eastAsia="Arial" w:hAnsi="Arial"/>
                <w:sz w:val="18"/>
                <w:szCs w:val="18"/>
                <w:color w:val="auto"/>
              </w:rPr>
              <w:t>/s/ Brian Shaughnessy</w:t>
            </w:r>
          </w:p>
        </w:tc>
      </w:tr>
      <w:tr>
        <w:trPr>
          <w:trHeight w:val="20"/>
        </w:trPr>
        <w:tc>
          <w:tcPr>
            <w:tcW w:w="3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2"/>
        </w:trPr>
        <w:tc>
          <w:tcPr>
            <w:tcW w:w="3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Brian Shaughnessy</w:t>
            </w:r>
          </w:p>
        </w:tc>
      </w:tr>
      <w:tr>
        <w:trPr>
          <w:trHeight w:val="230"/>
        </w:trPr>
        <w:tc>
          <w:tcPr>
            <w:tcW w:w="3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0219"/>
          </w:cols>
          <w:pgMar w:left="240" w:top="121"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Exhibit 32.1. Certificate of the Chief Executive Officer</w:t>
      </w:r>
    </w:p>
    <w:p>
      <w:pPr>
        <w:spacing w:after="0" w:line="22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Northeast Bancorp. (the "Company") on Form 10-Q for the quarterly period ended September 30, 2016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66" w:lineRule="exact"/>
        <w:rPr>
          <w:sz w:val="20"/>
          <w:szCs w:val="20"/>
          <w:color w:val="auto"/>
        </w:rPr>
      </w:pPr>
    </w:p>
    <w:p>
      <w:pPr>
        <w:ind w:left="340" w:right="600" w:firstLine="6"/>
        <w:spacing w:after="0" w:line="277" w:lineRule="auto"/>
        <w:tabs>
          <w:tab w:leader="none" w:pos="6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340" w:right="460" w:firstLine="6"/>
        <w:spacing w:after="0" w:line="277" w:lineRule="auto"/>
        <w:tabs>
          <w:tab w:leader="none" w:pos="6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November 9, 2016</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Richard Wayne</w:t>
            </w:r>
          </w:p>
        </w:tc>
        <w:tc>
          <w:tcPr>
            <w:tcW w:w="1640" w:type="dxa"/>
            <w:vAlign w:val="bottom"/>
          </w:tcPr>
          <w:p>
            <w:pPr>
              <w:spacing w:after="0"/>
              <w:rPr>
                <w:sz w:val="17"/>
                <w:szCs w:val="17"/>
                <w:color w:val="auto"/>
              </w:rPr>
            </w:pPr>
          </w:p>
        </w:tc>
      </w:tr>
      <w:tr>
        <w:trPr>
          <w:trHeight w:val="222"/>
        </w:trPr>
        <w:tc>
          <w:tcPr>
            <w:tcW w:w="542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Richard Wayne</w:t>
            </w:r>
          </w:p>
        </w:tc>
      </w:tr>
      <w:tr>
        <w:trPr>
          <w:trHeight w:val="230"/>
        </w:trPr>
        <w:tc>
          <w:tcPr>
            <w:tcW w:w="5420" w:type="dxa"/>
            <w:vAlign w:val="bottom"/>
          </w:tcPr>
          <w:p>
            <w:pPr>
              <w:spacing w:after="0"/>
              <w:rPr>
                <w:sz w:val="20"/>
                <w:szCs w:val="20"/>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0760"/>
          </w:cols>
          <w:pgMar w:left="240" w:top="121" w:right="899" w:bottom="1440" w:gutter="0" w:footer="0" w:header="0"/>
        </w:sectPr>
      </w:pPr>
    </w:p>
    <w:bookmarkStart w:id="53" w:name="page54"/>
    <w:bookmarkEnd w:id="53"/>
    <w:p>
      <w:pPr>
        <w:spacing w:after="0"/>
        <w:tabs>
          <w:tab w:leader="none" w:pos="11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Northeast Bancorp. (the "Company") on Form 10-Q for the quarterly period ended September 30, 2016 as filed with the Securities and Exchange Commission on the date hereof (the "Report"), I, Brian Shaughnessy, as Chief Financial Officer of the Company, hereby certify pursuant to 18 U.S.C. 1350, as adopted pursuant to 906 of the Sarbanes-Oxley Act of 2002, that:</w:t>
      </w:r>
    </w:p>
    <w:p>
      <w:pPr>
        <w:spacing w:after="0" w:line="166" w:lineRule="exact"/>
        <w:rPr>
          <w:sz w:val="20"/>
          <w:szCs w:val="20"/>
          <w:color w:val="auto"/>
        </w:rPr>
      </w:pPr>
    </w:p>
    <w:p>
      <w:pPr>
        <w:ind w:left="340" w:right="600" w:firstLine="6"/>
        <w:spacing w:after="0" w:line="277" w:lineRule="auto"/>
        <w:tabs>
          <w:tab w:leader="none" w:pos="6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340" w:right="460" w:firstLine="6"/>
        <w:spacing w:after="0" w:line="277" w:lineRule="auto"/>
        <w:tabs>
          <w:tab w:leader="none" w:pos="6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November 9, 2016</w:t>
            </w:r>
          </w:p>
        </w:tc>
        <w:tc>
          <w:tcPr>
            <w:tcW w:w="1900" w:type="dxa"/>
            <w:vAlign w:val="bottom"/>
            <w:gridSpan w:val="2"/>
          </w:tcPr>
          <w:p>
            <w:pPr>
              <w:spacing w:after="0"/>
              <w:rPr>
                <w:sz w:val="20"/>
                <w:szCs w:val="20"/>
                <w:color w:val="auto"/>
              </w:rPr>
            </w:pPr>
            <w:r>
              <w:rPr>
                <w:rFonts w:ascii="Arial" w:cs="Arial" w:eastAsia="Arial" w:hAnsi="Arial"/>
                <w:sz w:val="18"/>
                <w:szCs w:val="18"/>
                <w:color w:val="auto"/>
              </w:rPr>
              <w:t>/s/ Brian Shaughnessy</w:t>
            </w:r>
          </w:p>
        </w:tc>
      </w:tr>
      <w:tr>
        <w:trPr>
          <w:trHeight w:val="20"/>
        </w:trPr>
        <w:tc>
          <w:tcPr>
            <w:tcW w:w="5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2"/>
        </w:trPr>
        <w:tc>
          <w:tcPr>
            <w:tcW w:w="5420" w:type="dxa"/>
            <w:vAlign w:val="bottom"/>
          </w:tcPr>
          <w:p>
            <w:pPr>
              <w:spacing w:after="0"/>
              <w:rPr>
                <w:sz w:val="19"/>
                <w:szCs w:val="19"/>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Brian Shaughnessy</w:t>
            </w:r>
          </w:p>
        </w:tc>
      </w:tr>
      <w:tr>
        <w:trPr>
          <w:trHeight w:val="230"/>
        </w:trPr>
        <w:tc>
          <w:tcPr>
            <w:tcW w:w="54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3"/>
              </w:rPr>
              <w:t>Chief Financial Officer</w:t>
            </w:r>
          </w:p>
        </w:tc>
      </w:tr>
    </w:tbl>
    <w:p>
      <w:pPr>
        <w:spacing w:after="0" w:line="1" w:lineRule="exact"/>
        <w:rPr>
          <w:sz w:val="20"/>
          <w:szCs w:val="20"/>
          <w:color w:val="auto"/>
        </w:rPr>
      </w:pPr>
    </w:p>
    <w:sectPr>
      <w:pgSz w:w="11900" w:h="16838" w:orient="portrait"/>
      <w:cols w:equalWidth="0" w:num="1">
        <w:col w:w="10760"/>
      </w:cols>
      <w:pgMar w:left="240" w:top="12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9"/>
    </w:lvl>
  </w:abstractNum>
  <w:abstractNum w:abstractNumId="10">
    <w:nsid w:val="721DA317"/>
    <w:multiLevelType w:val="hybridMultilevel"/>
    <w:lvl w:ilvl="0">
      <w:lvlJc w:val="left"/>
      <w:lvlText w:val="%1."/>
      <w:numFmt w:val="decimal"/>
      <w:start w:val="10"/>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lowerRoman"/>
      <w:start w:val="3"/>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01"/>
    </w:lvl>
  </w:abstractNum>
  <w:abstractNum w:abstractNumId="24">
    <w:nsid w:val="2901D82"/>
    <w:multiLevelType w:val="hybridMultilevel"/>
    <w:lvl w:ilvl="0">
      <w:lvlJc w:val="left"/>
      <w:lvlText w:val="%1"/>
      <w:numFmt w:val="decimal"/>
      <w:start w:val="101"/>
    </w:lvl>
  </w:abstractNum>
  <w:abstractNum w:abstractNumId="25">
    <w:nsid w:val="3A95F874"/>
    <w:multiLevelType w:val="hybridMultilevel"/>
    <w:lvl w:ilvl="0">
      <w:lvlJc w:val="left"/>
      <w:lvlText w:val="%1."/>
      <w:numFmt w:val="decimal"/>
      <w:start w:val="1"/>
    </w:lvl>
    <w:lvl w:ilvl="1">
      <w:lvlJc w:val="left"/>
      <w:lvlText w:val="(%2)"/>
      <w:numFmt w:val="lowerLetter"/>
      <w:start w:val="1"/>
    </w:lvl>
  </w:abstractNum>
  <w:abstractNum w:abstractNumId="26">
    <w:nsid w:val="8138641"/>
    <w:multiLevelType w:val="hybridMultilevel"/>
    <w:lvl w:ilvl="0">
      <w:lvlJc w:val="left"/>
      <w:lvlText w:val="%1."/>
      <w:numFmt w:val="decimal"/>
      <w:start w:val="3"/>
    </w:lvl>
  </w:abstractNum>
  <w:abstractNum w:abstractNumId="27">
    <w:nsid w:val="1E7FF521"/>
    <w:multiLevelType w:val="hybridMultilevel"/>
    <w:lvl w:ilvl="0">
      <w:lvlJc w:val="left"/>
      <w:lvlText w:val="%1."/>
      <w:numFmt w:val="decimal"/>
      <w:start w:val="4"/>
    </w:lvl>
  </w:abstractNum>
  <w:abstractNum w:abstractNumId="28">
    <w:nsid w:val="7C3DBD3D"/>
    <w:multiLevelType w:val="hybridMultilevel"/>
    <w:lvl w:ilvl="0">
      <w:lvlJc w:val="left"/>
      <w:lvlText w:val="%1."/>
      <w:numFmt w:val="decimal"/>
      <w:start w:val="9"/>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2019-12-29T08:20:54Z</dcterms:created>
  <dcterms:modified xsi:type="dcterms:W3CDTF">2019-12-29T08:20:54Z</dcterms:modified>
</cp:coreProperties>
</file>