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99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April 30, 2014 the registrant had outstanding 9,550,031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2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Information</w:t>
        </w:r>
      </w:hyperlink>
    </w:p>
    <w:p>
      <w:pPr>
        <w:spacing w:after="0" w:line="27" w:lineRule="exact"/>
        <w:rPr>
          <w:sz w:val="20"/>
          <w:szCs w:val="20"/>
          <w:color w:val="auto"/>
        </w:rPr>
      </w:pPr>
    </w:p>
    <w:p>
      <w:pPr>
        <w:ind w:left="940"/>
        <w:spacing w:after="0"/>
        <w:tabs>
          <w:tab w:leader="none" w:pos="184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18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March 31, 2014 and June 30, 2013</w:t>
        </w:r>
      </w:hyperlink>
    </w:p>
    <w:p>
      <w:pPr>
        <w:spacing w:after="0" w:line="207" w:lineRule="exact"/>
        <w:rPr>
          <w:sz w:val="20"/>
          <w:szCs w:val="20"/>
          <w:color w:val="auto"/>
        </w:rPr>
      </w:pPr>
    </w:p>
    <w:p>
      <w:pPr>
        <w:ind w:left="18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w:t>
        </w:r>
      </w:hyperlink>
    </w:p>
    <w:p>
      <w:pPr>
        <w:spacing w:after="0" w:line="2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Three Months Ended March 31, 2014 and 2013</w:t>
        </w:r>
      </w:hyperlink>
    </w:p>
    <w:p>
      <w:pPr>
        <w:spacing w:after="0" w:line="9"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Nine Months Ended March 31, 2014 and 2013</w:t>
        </w:r>
      </w:hyperlink>
    </w:p>
    <w:p>
      <w:pPr>
        <w:spacing w:after="0" w:line="207" w:lineRule="exact"/>
        <w:rPr>
          <w:sz w:val="20"/>
          <w:szCs w:val="20"/>
          <w:color w:val="auto"/>
        </w:rPr>
      </w:pPr>
    </w:p>
    <w:p>
      <w:pPr>
        <w:ind w:left="18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w:t>
        </w:r>
      </w:hyperlink>
    </w:p>
    <w:p>
      <w:pPr>
        <w:spacing w:after="0" w:line="2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Three Months Ended March 31, 2014 and 2013</w:t>
        </w:r>
      </w:hyperlink>
    </w:p>
    <w:p>
      <w:pPr>
        <w:spacing w:after="0" w:line="9"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Nine Months Ended March 31, 2014 and 2013</w:t>
        </w:r>
      </w:hyperlink>
    </w:p>
    <w:p>
      <w:pPr>
        <w:spacing w:after="0" w:line="207" w:lineRule="exact"/>
        <w:rPr>
          <w:sz w:val="20"/>
          <w:szCs w:val="20"/>
          <w:color w:val="auto"/>
        </w:rPr>
      </w:pPr>
    </w:p>
    <w:p>
      <w:pPr>
        <w:ind w:left="18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Changes in Stockholders’ Equity</w:t>
        </w:r>
      </w:hyperlink>
    </w:p>
    <w:p>
      <w:pPr>
        <w:spacing w:after="0" w:line="2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Nine Months Ended March 31, 2014 and 2013</w:t>
        </w:r>
      </w:hyperlink>
    </w:p>
    <w:p>
      <w:pPr>
        <w:spacing w:after="0" w:line="207" w:lineRule="exact"/>
        <w:rPr>
          <w:sz w:val="20"/>
          <w:szCs w:val="20"/>
          <w:color w:val="auto"/>
        </w:rPr>
      </w:pPr>
    </w:p>
    <w:p>
      <w:pPr>
        <w:ind w:left="186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Statements of Cash Flows</w:t>
        </w:r>
      </w:hyperlink>
    </w:p>
    <w:p>
      <w:pPr>
        <w:spacing w:after="0" w:line="27" w:lineRule="exact"/>
        <w:rPr>
          <w:sz w:val="20"/>
          <w:szCs w:val="20"/>
          <w:color w:val="auto"/>
        </w:rPr>
      </w:pPr>
    </w:p>
    <w:p>
      <w:pPr>
        <w:ind w:left="204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Nine Months Ended March 31, 2014 and 2013</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Notes to Consolidated Financial Statements</w:t>
              </w:r>
            </w:hyperlink>
          </w:p>
        </w:tc>
        <w:tc>
          <w:tcPr>
            <w:tcW w:w="25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21">
              <w:r>
                <w:rPr>
                  <w:rFonts w:ascii="Arial" w:cs="Arial" w:eastAsia="Arial" w:hAnsi="Arial"/>
                  <w:sz w:val="18"/>
                  <w:szCs w:val="18"/>
                  <w:b w:val="1"/>
                  <w:bCs w:val="1"/>
                  <w:color w:val="0000EE"/>
                  <w:w w:val="91"/>
                </w:rPr>
                <w:t>Item 2.</w:t>
              </w:r>
            </w:hyperlink>
          </w:p>
        </w:tc>
        <w:tc>
          <w:tcPr>
            <w:tcW w:w="380" w:type="dxa"/>
            <w:vAlign w:val="bottom"/>
            <w:gridSpan w:val="2"/>
          </w:tcPr>
          <w:p>
            <w:pPr>
              <w:spacing w:after="0"/>
              <w:rPr>
                <w:sz w:val="24"/>
                <w:szCs w:val="24"/>
                <w:color w:val="auto"/>
              </w:rPr>
            </w:pPr>
          </w:p>
        </w:tc>
        <w:tc>
          <w:tcPr>
            <w:tcW w:w="8100" w:type="dxa"/>
            <w:vAlign w:val="bottom"/>
            <w:gridSpan w:val="1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3.</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Quantitative and Qualitative Disclosure about Market Risk</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4.</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Controls and Procedures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360" w:type="dxa"/>
            <w:vAlign w:val="bottom"/>
          </w:tcPr>
          <w:p>
            <w:pPr>
              <w:spacing w:after="0"/>
              <w:rPr>
                <w:sz w:val="24"/>
                <w:szCs w:val="24"/>
                <w:color w:val="auto"/>
              </w:rPr>
            </w:pPr>
          </w:p>
        </w:tc>
        <w:tc>
          <w:tcPr>
            <w:tcW w:w="6800" w:type="dxa"/>
            <w:vAlign w:val="bottom"/>
            <w:gridSpan w:val="1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1.</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Legal Proceedings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1A.</w:t>
              </w:r>
            </w:hyperlink>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Risk Factors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2.</w:t>
              </w:r>
            </w:hyperlink>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Unregistered Sales of Equity Securities and Use of Proceeds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3.</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Defaults Upon Senior Securities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4.</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Mine Safety Disclosures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5.</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6.</w:t>
              </w:r>
            </w:hyperlink>
          </w:p>
        </w:tc>
        <w:tc>
          <w:tcPr>
            <w:tcW w:w="380" w:type="dxa"/>
            <w:vAlign w:val="bottom"/>
            <w:gridSpan w:val="2"/>
          </w:tcPr>
          <w:p>
            <w:pPr>
              <w:spacing w:after="0"/>
              <w:rPr>
                <w:sz w:val="24"/>
                <w:szCs w:val="24"/>
                <w:color w:val="auto"/>
              </w:rPr>
            </w:pPr>
          </w:p>
        </w:tc>
        <w:tc>
          <w:tcPr>
            <w:tcW w:w="588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3920" w:type="dxa"/>
            <w:vAlign w:val="bottom"/>
            <w:gridSpan w:val="7"/>
          </w:tcPr>
          <w:p>
            <w:pPr>
              <w:jc w:val="right"/>
              <w:ind w:right="66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86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40" w:type="dxa"/>
            <w:vAlign w:val="bottom"/>
            <w:gridSpan w:val="4"/>
          </w:tcPr>
          <w:p>
            <w:pPr>
              <w:jc w:val="center"/>
              <w:spacing w:after="0"/>
              <w:rPr>
                <w:sz w:val="20"/>
                <w:szCs w:val="20"/>
                <w:color w:val="auto"/>
              </w:rPr>
            </w:pPr>
            <w:r>
              <w:rPr>
                <w:rFonts w:ascii="Arial" w:cs="Arial" w:eastAsia="Arial" w:hAnsi="Arial"/>
                <w:sz w:val="18"/>
                <w:szCs w:val="18"/>
                <w:color w:val="auto"/>
                <w:w w:val="97"/>
              </w:rPr>
              <w:t>PART 1- FINANCIAL INFORMATION</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7740" w:type="dxa"/>
            <w:vAlign w:val="bottom"/>
            <w:gridSpan w:val="17"/>
          </w:tcPr>
          <w:p>
            <w:pPr>
              <w:spacing w:after="0"/>
              <w:rPr>
                <w:sz w:val="20"/>
                <w:szCs w:val="20"/>
                <w:color w:val="auto"/>
              </w:rPr>
            </w:pPr>
            <w:r>
              <w:rPr>
                <w:rFonts w:ascii="Arial" w:cs="Arial" w:eastAsia="Arial" w:hAnsi="Arial"/>
                <w:sz w:val="18"/>
                <w:szCs w:val="18"/>
                <w:color w:val="auto"/>
              </w:rPr>
              <w:t>Item 1. Financial Statements (Unaudited)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7740" w:type="dxa"/>
            <w:vAlign w:val="bottom"/>
            <w:gridSpan w:val="17"/>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740" w:type="dxa"/>
            <w:vAlign w:val="bottom"/>
            <w:gridSpan w:val="17"/>
          </w:tcPr>
          <w:p>
            <w:pPr>
              <w:spacing w:after="0"/>
              <w:rPr>
                <w:sz w:val="20"/>
                <w:szCs w:val="20"/>
                <w:color w:val="auto"/>
              </w:rPr>
            </w:pPr>
            <w:r>
              <w:rPr>
                <w:rFonts w:ascii="Arial" w:cs="Arial" w:eastAsia="Arial" w:hAnsi="Arial"/>
                <w:sz w:val="18"/>
                <w:szCs w:val="18"/>
                <w:b w:val="1"/>
                <w:bCs w:val="1"/>
                <w:color w:val="auto"/>
              </w:rPr>
              <w:t>CONSOLIDATED BALANCE SHEETS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w w:val="97"/>
              </w:rPr>
              <w:t>(Unaudited)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740" w:type="dxa"/>
            <w:vAlign w:val="bottom"/>
            <w:gridSpan w:val="17"/>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2013</w:t>
            </w:r>
          </w:p>
        </w:tc>
      </w:tr>
      <w:tr>
        <w:trPr>
          <w:trHeight w:val="196"/>
        </w:trPr>
        <w:tc>
          <w:tcPr>
            <w:tcW w:w="5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left w:val="single" w:sz="8" w:color="CCEEFF"/>
            </w:tcBorders>
            <w:gridSpan w:val="4"/>
            <w:shd w:val="clear" w:color="auto" w:fill="CCEEFF"/>
          </w:tcPr>
          <w:p>
            <w:pPr>
              <w:jc w:val="center"/>
              <w:ind w:right="3420"/>
              <w:spacing w:after="0" w:line="196" w:lineRule="exact"/>
              <w:rPr>
                <w:sz w:val="20"/>
                <w:szCs w:val="20"/>
                <w:color w:val="auto"/>
              </w:rPr>
            </w:pPr>
            <w:r>
              <w:rPr>
                <w:rFonts w:ascii="Arial" w:cs="Arial" w:eastAsia="Arial" w:hAnsi="Arial"/>
                <w:sz w:val="18"/>
                <w:szCs w:val="18"/>
                <w:color w:val="auto"/>
                <w:w w:val="85"/>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860" w:type="dxa"/>
            <w:vAlign w:val="bottom"/>
            <w:gridSpan w:val="6"/>
          </w:tcPr>
          <w:p>
            <w:pPr>
              <w:spacing w:after="0"/>
              <w:rPr>
                <w:sz w:val="20"/>
                <w:szCs w:val="20"/>
                <w:color w:val="auto"/>
              </w:rPr>
            </w:pPr>
            <w:r>
              <w:rPr>
                <w:rFonts w:ascii="Arial" w:cs="Arial" w:eastAsia="Arial" w:hAnsi="Arial"/>
                <w:sz w:val="18"/>
                <w:szCs w:val="18"/>
                <w:color w:val="auto"/>
                <w:w w:val="89"/>
              </w:rPr>
              <w:t>Cash and due from banks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2,677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3,238</w:t>
            </w:r>
          </w:p>
        </w:tc>
        <w:tc>
          <w:tcPr>
            <w:tcW w:w="40" w:type="dxa"/>
            <w:vAlign w:val="bottom"/>
          </w:tcPr>
          <w:p>
            <w:pPr>
              <w:spacing w:after="0"/>
              <w:rPr>
                <w:sz w:val="18"/>
                <w:szCs w:val="18"/>
                <w:color w:val="auto"/>
              </w:rPr>
            </w:pPr>
          </w:p>
        </w:tc>
      </w:tr>
      <w:tr>
        <w:trPr>
          <w:trHeight w:val="216"/>
        </w:trPr>
        <w:tc>
          <w:tcPr>
            <w:tcW w:w="18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8"/>
              </w:rPr>
              <w:t>Short-term investments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71,686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62,696</w:t>
            </w:r>
          </w:p>
        </w:tc>
        <w:tc>
          <w:tcPr>
            <w:tcW w:w="40" w:type="dxa"/>
            <w:vAlign w:val="bottom"/>
          </w:tcPr>
          <w:p>
            <w:pPr>
              <w:spacing w:after="0"/>
              <w:rPr>
                <w:sz w:val="18"/>
                <w:szCs w:val="18"/>
                <w:color w:val="auto"/>
              </w:rPr>
            </w:pPr>
          </w:p>
        </w:tc>
      </w:tr>
      <w:tr>
        <w:trPr>
          <w:trHeight w:val="210"/>
        </w:trPr>
        <w:tc>
          <w:tcPr>
            <w:tcW w:w="7740" w:type="dxa"/>
            <w:vAlign w:val="bottom"/>
            <w:gridSpan w:val="17"/>
          </w:tcPr>
          <w:p>
            <w:pPr>
              <w:ind w:left="540"/>
              <w:spacing w:after="0"/>
              <w:rPr>
                <w:sz w:val="20"/>
                <w:szCs w:val="20"/>
                <w:color w:val="auto"/>
              </w:rPr>
            </w:pPr>
            <w:r>
              <w:rPr>
                <w:rFonts w:ascii="Arial" w:cs="Arial" w:eastAsia="Arial" w:hAnsi="Arial"/>
                <w:sz w:val="18"/>
                <w:szCs w:val="18"/>
                <w:color w:val="auto"/>
              </w:rPr>
              <w:t>Total cash and cash equivalents</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74,363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Available-for-sale securities, at fair value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112,732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121,597</w:t>
            </w:r>
          </w:p>
        </w:tc>
        <w:tc>
          <w:tcPr>
            <w:tcW w:w="40" w:type="dxa"/>
            <w:vAlign w:val="bottom"/>
          </w:tcPr>
          <w:p>
            <w:pPr>
              <w:spacing w:after="0"/>
              <w:rPr>
                <w:sz w:val="18"/>
                <w:szCs w:val="18"/>
                <w:color w:val="auto"/>
              </w:rPr>
            </w:pPr>
          </w:p>
        </w:tc>
      </w:tr>
      <w:tr>
        <w:trPr>
          <w:trHeight w:val="216"/>
        </w:trPr>
        <w:tc>
          <w:tcPr>
            <w:tcW w:w="1860" w:type="dxa"/>
            <w:vAlign w:val="bottom"/>
            <w:gridSpan w:val="6"/>
          </w:tcPr>
          <w:p>
            <w:pPr>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9,827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40" w:type="dxa"/>
            <w:vAlign w:val="bottom"/>
          </w:tcPr>
          <w:p>
            <w:pPr>
              <w:spacing w:after="0"/>
              <w:rPr>
                <w:sz w:val="18"/>
                <w:szCs w:val="18"/>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40" w:type="dxa"/>
            <w:vAlign w:val="bottom"/>
            <w:gridSpan w:val="17"/>
          </w:tcPr>
          <w:p>
            <w:pPr>
              <w:ind w:left="360"/>
              <w:spacing w:after="0"/>
              <w:rPr>
                <w:sz w:val="20"/>
                <w:szCs w:val="20"/>
                <w:color w:val="auto"/>
              </w:rPr>
            </w:pPr>
            <w:r>
              <w:rPr>
                <w:rFonts w:ascii="Arial" w:cs="Arial" w:eastAsia="Arial" w:hAnsi="Arial"/>
                <w:sz w:val="18"/>
                <w:szCs w:val="18"/>
                <w:color w:val="auto"/>
              </w:rPr>
              <w:t>Commercial real estate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299,898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264,448</w:t>
            </w: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153,972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127,829</w:t>
            </w:r>
          </w:p>
        </w:tc>
        <w:tc>
          <w:tcPr>
            <w:tcW w:w="40" w:type="dxa"/>
            <w:vAlign w:val="bottom"/>
          </w:tcPr>
          <w:p>
            <w:pPr>
              <w:spacing w:after="0"/>
              <w:rPr>
                <w:sz w:val="18"/>
                <w:szCs w:val="18"/>
                <w:color w:val="auto"/>
              </w:rPr>
            </w:pPr>
          </w:p>
        </w:tc>
      </w:tr>
      <w:tr>
        <w:trPr>
          <w:trHeight w:val="216"/>
        </w:trPr>
        <w:tc>
          <w:tcPr>
            <w:tcW w:w="1860" w:type="dxa"/>
            <w:vAlign w:val="bottom"/>
            <w:gridSpan w:val="6"/>
          </w:tcPr>
          <w:p>
            <w:pPr>
              <w:ind w:left="360"/>
              <w:spacing w:after="0"/>
              <w:rPr>
                <w:sz w:val="20"/>
                <w:szCs w:val="20"/>
                <w:color w:val="auto"/>
              </w:rPr>
            </w:pPr>
            <w:r>
              <w:rPr>
                <w:rFonts w:ascii="Arial" w:cs="Arial" w:eastAsia="Arial" w:hAnsi="Arial"/>
                <w:sz w:val="18"/>
                <w:szCs w:val="18"/>
                <w:color w:val="auto"/>
              </w:rPr>
              <w:t>Construction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49,554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w:t>
            </w:r>
          </w:p>
        </w:tc>
        <w:tc>
          <w:tcPr>
            <w:tcW w:w="40" w:type="dxa"/>
            <w:vAlign w:val="bottom"/>
          </w:tcPr>
          <w:p>
            <w:pPr>
              <w:spacing w:after="0"/>
              <w:rPr>
                <w:sz w:val="18"/>
                <w:szCs w:val="18"/>
                <w:color w:val="auto"/>
              </w:rPr>
            </w:pPr>
          </w:p>
        </w:tc>
      </w:tr>
      <w:tr>
        <w:trPr>
          <w:trHeight w:val="216"/>
        </w:trPr>
        <w:tc>
          <w:tcPr>
            <w:tcW w:w="1860" w:type="dxa"/>
            <w:vAlign w:val="bottom"/>
            <w:gridSpan w:val="6"/>
          </w:tcPr>
          <w:p>
            <w:pPr>
              <w:ind w:left="360"/>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10,828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40" w:type="dxa"/>
            <w:vAlign w:val="bottom"/>
          </w:tcPr>
          <w:p>
            <w:pPr>
              <w:spacing w:after="0"/>
              <w:rPr>
                <w:sz w:val="18"/>
                <w:szCs w:val="18"/>
                <w:color w:val="auto"/>
              </w:rPr>
            </w:pPr>
          </w:p>
        </w:tc>
      </w:tr>
      <w:tr>
        <w:trPr>
          <w:trHeight w:val="210"/>
        </w:trPr>
        <w:tc>
          <w:tcPr>
            <w:tcW w:w="1860" w:type="dxa"/>
            <w:vAlign w:val="bottom"/>
            <w:tcBorders>
              <w:top w:val="single" w:sz="8" w:color="CCEEFF"/>
            </w:tcBorders>
            <w:gridSpan w:val="6"/>
            <w:shd w:val="clear" w:color="auto" w:fill="CCEEFF"/>
          </w:tcPr>
          <w:p>
            <w:pPr>
              <w:ind w:left="540"/>
              <w:spacing w:after="0"/>
              <w:rPr>
                <w:sz w:val="20"/>
                <w:szCs w:val="20"/>
                <w:color w:val="auto"/>
              </w:rPr>
            </w:pPr>
            <w:r>
              <w:rPr>
                <w:rFonts w:ascii="Arial" w:cs="Arial" w:eastAsia="Arial" w:hAnsi="Arial"/>
                <w:sz w:val="18"/>
                <w:szCs w:val="18"/>
                <w:color w:val="auto"/>
              </w:rPr>
              <w:t>Total loans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514,252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40" w:type="dxa"/>
            <w:vAlign w:val="bottom"/>
            <w:gridSpan w:val="17"/>
          </w:tcPr>
          <w:p>
            <w:pPr>
              <w:ind w:left="360"/>
              <w:spacing w:after="0"/>
              <w:rPr>
                <w:sz w:val="20"/>
                <w:szCs w:val="20"/>
                <w:color w:val="auto"/>
              </w:rPr>
            </w:pPr>
            <w:r>
              <w:rPr>
                <w:rFonts w:ascii="Arial" w:cs="Arial" w:eastAsia="Arial" w:hAnsi="Arial"/>
                <w:sz w:val="18"/>
                <w:szCs w:val="18"/>
                <w:color w:val="auto"/>
              </w:rPr>
              <w:t>Less: Allowance for loan losses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r>
      <w:tr>
        <w:trPr>
          <w:trHeight w:val="210"/>
        </w:trPr>
        <w:tc>
          <w:tcPr>
            <w:tcW w:w="1860" w:type="dxa"/>
            <w:vAlign w:val="bottom"/>
            <w:tcBorders>
              <w:top w:val="single" w:sz="8" w:color="CCEEFF"/>
            </w:tcBorders>
            <w:gridSpan w:val="6"/>
            <w:shd w:val="clear" w:color="auto" w:fill="CCEEFF"/>
          </w:tcPr>
          <w:p>
            <w:pPr>
              <w:ind w:left="540"/>
              <w:spacing w:after="0"/>
              <w:rPr>
                <w:sz w:val="20"/>
                <w:szCs w:val="20"/>
                <w:color w:val="auto"/>
              </w:rPr>
            </w:pPr>
            <w:r>
              <w:rPr>
                <w:rFonts w:ascii="Arial" w:cs="Arial" w:eastAsia="Arial" w:hAnsi="Arial"/>
                <w:sz w:val="18"/>
                <w:szCs w:val="18"/>
                <w:color w:val="auto"/>
              </w:rPr>
              <w:t>Loans, net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512,907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40" w:type="dxa"/>
            <w:vAlign w:val="bottom"/>
            <w:gridSpan w:val="17"/>
          </w:tcPr>
          <w:p>
            <w:pPr>
              <w:spacing w:after="0"/>
              <w:rPr>
                <w:sz w:val="20"/>
                <w:szCs w:val="20"/>
                <w:color w:val="auto"/>
              </w:rPr>
            </w:pPr>
            <w:r>
              <w:rPr>
                <w:rFonts w:ascii="Arial" w:cs="Arial" w:eastAsia="Arial" w:hAnsi="Arial"/>
                <w:sz w:val="18"/>
                <w:szCs w:val="18"/>
                <w:color w:val="auto"/>
              </w:rPr>
              <w:t>Premises and equipment,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9,211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10,075</w:t>
            </w: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Real estate owned and other possessed collateral, net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40" w:type="dxa"/>
            <w:vAlign w:val="bottom"/>
          </w:tcPr>
          <w:p>
            <w:pPr>
              <w:spacing w:after="0"/>
              <w:rPr>
                <w:sz w:val="18"/>
                <w:szCs w:val="18"/>
                <w:color w:val="auto"/>
              </w:rPr>
            </w:pPr>
          </w:p>
        </w:tc>
      </w:tr>
      <w:tr>
        <w:trPr>
          <w:trHeight w:val="216"/>
        </w:trPr>
        <w:tc>
          <w:tcPr>
            <w:tcW w:w="7740" w:type="dxa"/>
            <w:vAlign w:val="bottom"/>
            <w:gridSpan w:val="17"/>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5,721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5,721</w:t>
            </w:r>
          </w:p>
        </w:tc>
        <w:tc>
          <w:tcPr>
            <w:tcW w:w="40" w:type="dxa"/>
            <w:vAlign w:val="bottom"/>
          </w:tcPr>
          <w:p>
            <w:pPr>
              <w:spacing w:after="0"/>
              <w:rPr>
                <w:sz w:val="18"/>
                <w:szCs w:val="18"/>
                <w:color w:val="auto"/>
              </w:rPr>
            </w:pPr>
          </w:p>
        </w:tc>
      </w:tr>
      <w:tr>
        <w:trPr>
          <w:trHeight w:val="216"/>
        </w:trPr>
        <w:tc>
          <w:tcPr>
            <w:tcW w:w="18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w:t>
            </w:r>
          </w:p>
        </w:tc>
        <w:tc>
          <w:tcPr>
            <w:tcW w:w="40" w:type="dxa"/>
            <w:vAlign w:val="bottom"/>
          </w:tcPr>
          <w:p>
            <w:pPr>
              <w:spacing w:after="0"/>
              <w:rPr>
                <w:sz w:val="18"/>
                <w:szCs w:val="18"/>
                <w:color w:val="auto"/>
              </w:rPr>
            </w:pPr>
          </w:p>
        </w:tc>
      </w:tr>
      <w:tr>
        <w:trPr>
          <w:trHeight w:val="216"/>
        </w:trPr>
        <w:tc>
          <w:tcPr>
            <w:tcW w:w="7740" w:type="dxa"/>
            <w:vAlign w:val="bottom"/>
            <w:gridSpan w:val="17"/>
          </w:tcPr>
          <w:p>
            <w:pPr>
              <w:spacing w:after="0"/>
              <w:rPr>
                <w:sz w:val="20"/>
                <w:szCs w:val="20"/>
                <w:color w:val="auto"/>
              </w:rPr>
            </w:pPr>
            <w:r>
              <w:rPr>
                <w:rFonts w:ascii="Arial" w:cs="Arial" w:eastAsia="Arial" w:hAnsi="Arial"/>
                <w:sz w:val="18"/>
                <w:szCs w:val="18"/>
                <w:color w:val="auto"/>
              </w:rPr>
              <w:t>Bank owned life insurance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14,726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14,385</w:t>
            </w:r>
          </w:p>
        </w:tc>
        <w:tc>
          <w:tcPr>
            <w:tcW w:w="40" w:type="dxa"/>
            <w:vAlign w:val="bottom"/>
          </w:tcPr>
          <w:p>
            <w:pPr>
              <w:spacing w:after="0"/>
              <w:rPr>
                <w:sz w:val="18"/>
                <w:szCs w:val="18"/>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w:t>
            </w:r>
          </w:p>
        </w:tc>
        <w:tc>
          <w:tcPr>
            <w:tcW w:w="40" w:type="dxa"/>
            <w:vAlign w:val="bottom"/>
          </w:tcPr>
          <w:p>
            <w:pPr>
              <w:spacing w:after="0"/>
              <w:rPr>
                <w:sz w:val="18"/>
                <w:szCs w:val="18"/>
                <w:color w:val="auto"/>
              </w:rPr>
            </w:pPr>
          </w:p>
        </w:tc>
      </w:tr>
      <w:tr>
        <w:trPr>
          <w:trHeight w:val="250"/>
        </w:trPr>
        <w:tc>
          <w:tcPr>
            <w:tcW w:w="186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750,893</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8"/>
          </w:tcPr>
          <w:p>
            <w:pPr>
              <w:jc w:val="center"/>
              <w:ind w:right="2240"/>
              <w:spacing w:after="0"/>
              <w:rPr>
                <w:sz w:val="20"/>
                <w:szCs w:val="20"/>
                <w:color w:val="auto"/>
              </w:rPr>
            </w:pPr>
            <w:r>
              <w:rPr>
                <w:rFonts w:ascii="Arial" w:cs="Arial" w:eastAsia="Arial" w:hAnsi="Arial"/>
                <w:sz w:val="18"/>
                <w:szCs w:val="18"/>
                <w:color w:val="auto"/>
                <w:w w:val="93"/>
              </w:rPr>
              <w:t>Liabilities and Stockholders’ Equity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60" w:type="dxa"/>
            <w:vAlign w:val="bottom"/>
            <w:gridSpan w:val="6"/>
          </w:tcPr>
          <w:p>
            <w:pPr>
              <w:ind w:left="360"/>
              <w:spacing w:after="0"/>
              <w:rPr>
                <w:sz w:val="20"/>
                <w:szCs w:val="20"/>
                <w:color w:val="auto"/>
              </w:rPr>
            </w:pPr>
            <w:r>
              <w:rPr>
                <w:rFonts w:ascii="Arial" w:cs="Arial" w:eastAsia="Arial" w:hAnsi="Arial"/>
                <w:sz w:val="18"/>
                <w:szCs w:val="18"/>
                <w:color w:val="auto"/>
              </w:rPr>
              <w:t>Demand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43,294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46,425</w:t>
            </w: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ind w:left="360"/>
              <w:spacing w:after="0"/>
              <w:rPr>
                <w:sz w:val="20"/>
                <w:szCs w:val="20"/>
                <w:color w:val="auto"/>
              </w:rPr>
            </w:pPr>
            <w:r>
              <w:rPr>
                <w:rFonts w:ascii="Arial" w:cs="Arial" w:eastAsia="Arial" w:hAnsi="Arial"/>
                <w:sz w:val="18"/>
                <w:szCs w:val="18"/>
                <w:color w:val="auto"/>
              </w:rPr>
              <w:t>Savings and interest checking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100,961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90,970</w:t>
            </w:r>
          </w:p>
        </w:tc>
        <w:tc>
          <w:tcPr>
            <w:tcW w:w="40" w:type="dxa"/>
            <w:vAlign w:val="bottom"/>
          </w:tcPr>
          <w:p>
            <w:pPr>
              <w:spacing w:after="0"/>
              <w:rPr>
                <w:sz w:val="18"/>
                <w:szCs w:val="18"/>
                <w:color w:val="auto"/>
              </w:rPr>
            </w:pPr>
          </w:p>
        </w:tc>
      </w:tr>
      <w:tr>
        <w:trPr>
          <w:trHeight w:val="216"/>
        </w:trPr>
        <w:tc>
          <w:tcPr>
            <w:tcW w:w="1860" w:type="dxa"/>
            <w:vAlign w:val="bottom"/>
            <w:gridSpan w:val="6"/>
          </w:tcPr>
          <w:p>
            <w:pPr>
              <w:ind w:left="360"/>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86,735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84,416</w:t>
            </w:r>
          </w:p>
        </w:tc>
        <w:tc>
          <w:tcPr>
            <w:tcW w:w="40" w:type="dxa"/>
            <w:vAlign w:val="bottom"/>
          </w:tcPr>
          <w:p>
            <w:pPr>
              <w:spacing w:after="0"/>
              <w:rPr>
                <w:sz w:val="18"/>
                <w:szCs w:val="18"/>
                <w:color w:val="auto"/>
              </w:rPr>
            </w:pPr>
          </w:p>
        </w:tc>
      </w:tr>
      <w:tr>
        <w:trPr>
          <w:trHeight w:val="216"/>
        </w:trPr>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332,320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262,812</w:t>
            </w:r>
          </w:p>
        </w:tc>
        <w:tc>
          <w:tcPr>
            <w:tcW w:w="40" w:type="dxa"/>
            <w:vAlign w:val="bottom"/>
          </w:tcPr>
          <w:p>
            <w:pPr>
              <w:spacing w:after="0"/>
              <w:rPr>
                <w:sz w:val="18"/>
                <w:szCs w:val="18"/>
                <w:color w:val="auto"/>
              </w:rPr>
            </w:pPr>
          </w:p>
        </w:tc>
      </w:tr>
      <w:tr>
        <w:trPr>
          <w:trHeight w:val="210"/>
        </w:trPr>
        <w:tc>
          <w:tcPr>
            <w:tcW w:w="1860" w:type="dxa"/>
            <w:vAlign w:val="bottom"/>
            <w:gridSpan w:val="6"/>
          </w:tcPr>
          <w:p>
            <w:pPr>
              <w:ind w:left="540"/>
              <w:spacing w:after="0"/>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563,310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42,878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28,040</w:t>
            </w:r>
          </w:p>
        </w:tc>
        <w:tc>
          <w:tcPr>
            <w:tcW w:w="40" w:type="dxa"/>
            <w:vAlign w:val="bottom"/>
          </w:tcPr>
          <w:p>
            <w:pPr>
              <w:spacing w:after="0"/>
              <w:rPr>
                <w:sz w:val="18"/>
                <w:szCs w:val="18"/>
                <w:color w:val="auto"/>
              </w:rPr>
            </w:pPr>
          </w:p>
        </w:tc>
      </w:tr>
      <w:tr>
        <w:trPr>
          <w:trHeight w:val="216"/>
        </w:trPr>
        <w:tc>
          <w:tcPr>
            <w:tcW w:w="7740" w:type="dxa"/>
            <w:vAlign w:val="bottom"/>
            <w:gridSpan w:val="17"/>
          </w:tcPr>
          <w:p>
            <w:pPr>
              <w:ind w:left="180"/>
              <w:spacing w:after="0"/>
              <w:rPr>
                <w:sz w:val="20"/>
                <w:szCs w:val="20"/>
                <w:color w:val="auto"/>
              </w:rPr>
            </w:pPr>
            <w:r>
              <w:rPr>
                <w:rFonts w:ascii="Arial" w:cs="Arial" w:eastAsia="Arial" w:hAnsi="Arial"/>
                <w:sz w:val="18"/>
                <w:szCs w:val="18"/>
                <w:color w:val="auto"/>
              </w:rPr>
              <w:t>Wholesale repurchase agreements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10,240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25,397</w:t>
            </w:r>
          </w:p>
        </w:tc>
        <w:tc>
          <w:tcPr>
            <w:tcW w:w="40" w:type="dxa"/>
            <w:vAlign w:val="bottom"/>
          </w:tcPr>
          <w:p>
            <w:pPr>
              <w:spacing w:after="0"/>
              <w:rPr>
                <w:sz w:val="18"/>
                <w:szCs w:val="18"/>
                <w:color w:val="auto"/>
              </w:rPr>
            </w:pPr>
          </w:p>
        </w:tc>
      </w:tr>
      <w:tr>
        <w:trPr>
          <w:trHeight w:val="216"/>
        </w:trPr>
        <w:tc>
          <w:tcPr>
            <w:tcW w:w="18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3"/>
              </w:rPr>
              <w:t>Short-term borrowings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r>
      <w:tr>
        <w:trPr>
          <w:trHeight w:val="216"/>
        </w:trPr>
        <w:tc>
          <w:tcPr>
            <w:tcW w:w="7740" w:type="dxa"/>
            <w:vAlign w:val="bottom"/>
            <w:gridSpan w:val="17"/>
          </w:tcPr>
          <w:p>
            <w:pPr>
              <w:ind w:left="180"/>
              <w:spacing w:after="0"/>
              <w:rPr>
                <w:sz w:val="20"/>
                <w:szCs w:val="20"/>
                <w:color w:val="auto"/>
              </w:rPr>
            </w:pPr>
            <w:r>
              <w:rPr>
                <w:rFonts w:ascii="Arial" w:cs="Arial" w:eastAsia="Arial" w:hAnsi="Arial"/>
                <w:sz w:val="18"/>
                <w:szCs w:val="18"/>
                <w:color w:val="auto"/>
              </w:rPr>
              <w:t>Junior subordinated debentures issued to affiliated trusts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8,396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8,268</w:t>
            </w:r>
          </w:p>
        </w:tc>
        <w:tc>
          <w:tcPr>
            <w:tcW w:w="40" w:type="dxa"/>
            <w:vAlign w:val="bottom"/>
          </w:tcPr>
          <w:p>
            <w:pPr>
              <w:spacing w:after="0"/>
              <w:rPr>
                <w:sz w:val="18"/>
                <w:szCs w:val="18"/>
                <w:color w:val="auto"/>
              </w:rPr>
            </w:pPr>
          </w:p>
        </w:tc>
      </w:tr>
      <w:tr>
        <w:trPr>
          <w:trHeight w:val="216"/>
        </w:trPr>
        <w:tc>
          <w:tcPr>
            <w:tcW w:w="774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18"/>
                <w:szCs w:val="18"/>
                <w:color w:val="auto"/>
              </w:rPr>
            </w:pPr>
          </w:p>
        </w:tc>
      </w:tr>
      <w:tr>
        <w:trPr>
          <w:trHeight w:val="226"/>
        </w:trPr>
        <w:tc>
          <w:tcPr>
            <w:tcW w:w="1860" w:type="dxa"/>
            <w:vAlign w:val="bottom"/>
            <w:tcBorders>
              <w:bottom w:val="single" w:sz="8" w:color="CCEEFF"/>
            </w:tcBorders>
            <w:gridSpan w:val="6"/>
          </w:tcPr>
          <w:p>
            <w:pPr>
              <w:ind w:left="18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7,872</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636,885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556,837</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20" w:type="dxa"/>
            <w:vAlign w:val="bottom"/>
          </w:tcPr>
          <w:p>
            <w:pPr>
              <w:ind w:left="180"/>
              <w:spacing w:after="0" w:line="201" w:lineRule="exact"/>
              <w:rPr>
                <w:sz w:val="20"/>
                <w:szCs w:val="20"/>
                <w:color w:val="auto"/>
              </w:rPr>
            </w:pPr>
            <w:r>
              <w:rPr>
                <w:rFonts w:ascii="Arial" w:cs="Arial" w:eastAsia="Arial" w:hAnsi="Arial"/>
                <w:sz w:val="18"/>
                <w:szCs w:val="18"/>
                <w:color w:val="auto"/>
                <w:w w:val="97"/>
              </w:rPr>
              <w:t>Preferred stock, $1.00 par value, 1,000,000 shares authorized; no shares issued and outstanding at</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March 31, 2014 and June 30, 2013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Voting common stock, $1.00 par value, 25,000,000 shares authorized; 9,551,531 and 9,565,680 shares</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March 31, 2014 and June 30, 2013, respectively</w:t>
            </w:r>
          </w:p>
        </w:tc>
        <w:tc>
          <w:tcPr>
            <w:tcW w:w="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9,552</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w:t>
            </w:r>
          </w:p>
        </w:tc>
      </w:tr>
      <w:tr>
        <w:trPr>
          <w:trHeight w:val="202"/>
        </w:trPr>
        <w:tc>
          <w:tcPr>
            <w:tcW w:w="7920" w:type="dxa"/>
            <w:vAlign w:val="bottom"/>
          </w:tcPr>
          <w:p>
            <w:pPr>
              <w:ind w:left="180"/>
              <w:spacing w:after="0" w:line="201" w:lineRule="exact"/>
              <w:rPr>
                <w:sz w:val="20"/>
                <w:szCs w:val="20"/>
                <w:color w:val="auto"/>
              </w:rPr>
            </w:pPr>
            <w:r>
              <w:rPr>
                <w:rFonts w:ascii="Arial" w:cs="Arial" w:eastAsia="Arial" w:hAnsi="Arial"/>
                <w:sz w:val="18"/>
                <w:szCs w:val="18"/>
                <w:color w:val="auto"/>
                <w:w w:val="95"/>
              </w:rPr>
              <w:t>Non-voting common stock, $1.00 par value, 3,000,000 shares authorized; 880,963 shares issued and</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outstanding at March 31, 2014 and June 30, 2013</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93,371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92,745</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11,856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12,524</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(1,914)</w:t>
            </w:r>
          </w:p>
        </w:tc>
      </w:tr>
      <w:tr>
        <w:trPr>
          <w:trHeight w:val="210"/>
        </w:trPr>
        <w:tc>
          <w:tcPr>
            <w:tcW w:w="7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114,008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Borders>
              <w:bottom w:val="single" w:sz="8" w:color="CCEEFF"/>
            </w:tcBorders>
          </w:tcPr>
          <w:p>
            <w:pPr>
              <w:spacing w:after="0"/>
              <w:rPr>
                <w:sz w:val="18"/>
                <w:szCs w:val="18"/>
                <w:color w:val="auto"/>
              </w:rPr>
            </w:pPr>
          </w:p>
        </w:tc>
      </w:tr>
      <w:tr>
        <w:trPr>
          <w:trHeight w:val="210"/>
        </w:trPr>
        <w:tc>
          <w:tcPr>
            <w:tcW w:w="7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750,893</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4"/>
          </w:tcPr>
          <w:p>
            <w:pPr>
              <w:ind w:left="540"/>
              <w:spacing w:after="0"/>
              <w:rPr>
                <w:sz w:val="20"/>
                <w:szCs w:val="20"/>
                <w:color w:val="auto"/>
              </w:rPr>
            </w:pPr>
            <w:r>
              <w:rPr>
                <w:rFonts w:ascii="Arial" w:cs="Arial" w:eastAsia="Arial" w:hAnsi="Arial"/>
                <w:sz w:val="14"/>
                <w:szCs w:val="14"/>
                <w:b w:val="1"/>
                <w:bCs w:val="1"/>
                <w:color w:val="auto"/>
                <w:w w:val="97"/>
              </w:rPr>
              <w:t>Three Months Ended March 31,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1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8,403</w:t>
            </w:r>
          </w:p>
        </w:tc>
        <w:tc>
          <w:tcPr>
            <w:tcW w:w="3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9,601</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27,142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8,717</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3,048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Wholesale repurchase agreements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1,605</w:t>
            </w:r>
          </w:p>
        </w:tc>
        <w:tc>
          <w:tcPr>
            <w:tcW w:w="3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Net interest and dividend income before provision for loan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7,112</w:t>
            </w:r>
          </w:p>
        </w:tc>
        <w:tc>
          <w:tcPr>
            <w:tcW w:w="9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8,253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23,234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interest and dividend income after provision for loan losses</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6,932</w:t>
            </w:r>
          </w:p>
        </w:tc>
        <w:tc>
          <w:tcPr>
            <w:tcW w:w="3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7,907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securities gains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 held for 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373</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Gain recognized on real estate owned and other repossessed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collateral, net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9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1,308</w:t>
            </w:r>
          </w:p>
        </w:tc>
        <w:tc>
          <w:tcPr>
            <w:tcW w:w="3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4,687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1,450</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1,218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settlement recovery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869</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7,516</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from continuing operations before income tax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Income (loss) from discontinued operations before income tax</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(benefit)</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10,432,494</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10,425,576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10,435,300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10,397,280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10,432,494</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10,425,576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10,435,300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520"/>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Change in net unrealized gain or loss on available-for-sale securities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accumulated loss on effective cash flow hedges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(528)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Total other comprehensive (loss) income, before tax</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tax (benefit) expense related to other comprehensive (loss) income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920" w:type="dxa"/>
            <w:vAlign w:val="bottom"/>
          </w:tcPr>
          <w:p>
            <w:pPr>
              <w:spacing w:after="0"/>
              <w:rPr>
                <w:sz w:val="9"/>
                <w:szCs w:val="9"/>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Voting Common Stock</w:t>
            </w:r>
          </w:p>
        </w:tc>
        <w:tc>
          <w:tcPr>
            <w:tcW w:w="16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voting Common 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Paid-</w:t>
            </w: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920" w:type="dxa"/>
            <w:vAlign w:val="bottom"/>
          </w:tcPr>
          <w:p>
            <w:pPr>
              <w:spacing w:after="0"/>
              <w:rPr>
                <w:sz w:val="9"/>
                <w:szCs w:val="9"/>
                <w:color w:val="auto"/>
              </w:rPr>
            </w:pPr>
          </w:p>
        </w:tc>
        <w:tc>
          <w:tcPr>
            <w:tcW w:w="6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 Capital</w:t>
            </w:r>
          </w:p>
        </w:tc>
        <w:tc>
          <w:tcPr>
            <w:tcW w:w="80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9,307,127</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$ 9,307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1,076,314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$ 12,235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119,139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4,215</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comprehensive loss, net of</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w w:val="99"/>
              </w:rPr>
              <w:t>Conversion of non-voting common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195,351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195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(195,351)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stock to voting common stock</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Dividends on preferred 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$0.27 per share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Offering costs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restricted common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Redemption of preferred stock and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warrants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(4,227)</w:t>
            </w:r>
          </w:p>
        </w:tc>
        <w:tc>
          <w:tcPr>
            <w:tcW w:w="300" w:type="dxa"/>
            <w:vAlign w:val="bottom"/>
          </w:tcPr>
          <w:p>
            <w:pPr>
              <w:spacing w:after="0"/>
              <w:rPr>
                <w:sz w:val="20"/>
                <w:szCs w:val="20"/>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(4,322)</w:t>
            </w: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Accretion of preferred stock</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20" w:type="dxa"/>
            <w:vAlign w:val="bottom"/>
            <w:gridSpan w:val="3"/>
          </w:tcPr>
          <w:p>
            <w:pPr>
              <w:spacing w:after="0"/>
              <w:rPr>
                <w:sz w:val="20"/>
                <w:szCs w:val="20"/>
                <w:color w:val="auto"/>
              </w:rPr>
            </w:pPr>
            <w:r>
              <w:rPr>
                <w:rFonts w:ascii="Arial" w:cs="Arial" w:eastAsia="Arial" w:hAnsi="Arial"/>
                <w:sz w:val="18"/>
                <w:szCs w:val="18"/>
                <w:color w:val="auto"/>
              </w:rPr>
              <w:t>Balance at March 31, 2013</w:t>
            </w:r>
          </w:p>
        </w:tc>
        <w:tc>
          <w:tcPr>
            <w:tcW w:w="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9,565,680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9,566</w:t>
            </w: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880,963</w:t>
            </w: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881</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92,556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$ 13,260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Balance at June 30, 2013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9,565,680</w:t>
            </w:r>
          </w:p>
        </w:tc>
        <w:tc>
          <w:tcPr>
            <w:tcW w:w="10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9,566</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880,963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881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92,745</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$ 12,524</w:t>
            </w:r>
          </w:p>
        </w:tc>
        <w:tc>
          <w:tcPr>
            <w:tcW w:w="46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1"/>
              </w:rPr>
              <w:t>(1,914)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Other comprehensive income, net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of tax</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 common stock at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$0.27 per share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Forfeiture of restricted common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gridSpan w:val="3"/>
          </w:tcPr>
          <w:p>
            <w:pPr>
              <w:spacing w:after="0"/>
              <w:rPr>
                <w:sz w:val="20"/>
                <w:szCs w:val="20"/>
                <w:color w:val="auto"/>
              </w:rPr>
            </w:pPr>
            <w:r>
              <w:rPr>
                <w:rFonts w:ascii="Arial" w:cs="Arial" w:eastAsia="Arial" w:hAnsi="Arial"/>
                <w:sz w:val="18"/>
                <w:szCs w:val="18"/>
                <w:color w:val="auto"/>
              </w:rPr>
              <w:t>Balance at March 31, 2014</w:t>
            </w: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9,551,531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9,552</w:t>
            </w: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880,963</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881</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93,371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$ 11,856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(1,652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18"/>
          </w:tcPr>
          <w:p>
            <w:pPr>
              <w:spacing w:after="0"/>
              <w:rPr>
                <w:sz w:val="20"/>
                <w:szCs w:val="20"/>
                <w:color w:val="auto"/>
              </w:rPr>
            </w:pPr>
            <w:r>
              <w:rPr>
                <w:rFonts w:ascii="Arial" w:cs="Arial" w:eastAsia="Arial" w:hAnsi="Arial"/>
                <w:sz w:val="18"/>
                <w:szCs w:val="18"/>
                <w:i w:val="1"/>
                <w:iCs w:val="1"/>
                <w:color w:val="auto"/>
                <w:w w:val="90"/>
              </w:rPr>
              <w:t>The accompanying notes are an integral part of these unaudited consolidated 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70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60" w:type="dxa"/>
            <w:vAlign w:val="bottom"/>
            <w:gridSpan w:val="6"/>
          </w:tcPr>
          <w:p>
            <w:pPr>
              <w:spacing w:after="0"/>
              <w:rPr>
                <w:sz w:val="20"/>
                <w:szCs w:val="20"/>
                <w:color w:val="auto"/>
              </w:rPr>
            </w:pPr>
            <w:r>
              <w:rPr>
                <w:rFonts w:ascii="Arial" w:cs="Arial" w:eastAsia="Arial" w:hAnsi="Arial"/>
                <w:sz w:val="18"/>
                <w:szCs w:val="18"/>
                <w:b w:val="1"/>
                <w:bCs w:val="1"/>
                <w:color w:val="auto"/>
                <w:w w:val="98"/>
              </w:rPr>
              <w:t>NORTHEAST BANCORP AND SUBSIDIARY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80" w:type="dxa"/>
            <w:vAlign w:val="bottom"/>
            <w:gridSpan w:val="9"/>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rPr>
              <w:t>Nine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3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55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2,150</w:t>
            </w:r>
          </w:p>
        </w:tc>
        <w:tc>
          <w:tcPr>
            <w:tcW w:w="8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16"/>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net income to net cash (used in) provided by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Provision for loan losses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16"/>
            <w:shd w:val="clear" w:color="auto" w:fill="CCEEFF"/>
          </w:tcPr>
          <w:p>
            <w:pPr>
              <w:ind w:left="340"/>
              <w:spacing w:after="0"/>
              <w:rPr>
                <w:sz w:val="20"/>
                <w:szCs w:val="20"/>
                <w:color w:val="auto"/>
              </w:rPr>
            </w:pPr>
            <w:r>
              <w:rPr>
                <w:rFonts w:ascii="Arial" w:cs="Arial" w:eastAsia="Arial" w:hAnsi="Arial"/>
                <w:sz w:val="18"/>
                <w:szCs w:val="18"/>
                <w:color w:val="auto"/>
                <w:w w:val="92"/>
              </w:rPr>
              <w:t>Gain on sale and impairment of real estate owned and other repossessed collateral, net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340"/>
              <w:spacing w:after="0"/>
              <w:rPr>
                <w:sz w:val="20"/>
                <w:szCs w:val="20"/>
                <w:color w:val="auto"/>
              </w:rPr>
            </w:pPr>
            <w:r>
              <w:rPr>
                <w:rFonts w:ascii="Arial" w:cs="Arial" w:eastAsia="Arial" w:hAnsi="Arial"/>
                <w:sz w:val="18"/>
                <w:szCs w:val="18"/>
                <w:color w:val="auto"/>
                <w:w w:val="93"/>
              </w:rPr>
              <w:t>Accretion of fair value adjustments on loans,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(5,048)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8"/>
            <w:shd w:val="clear" w:color="auto" w:fill="CCEEFF"/>
          </w:tcPr>
          <w:p>
            <w:pPr>
              <w:ind w:left="340"/>
              <w:spacing w:after="0"/>
              <w:rPr>
                <w:sz w:val="20"/>
                <w:szCs w:val="20"/>
                <w:color w:val="auto"/>
              </w:rPr>
            </w:pPr>
            <w:r>
              <w:rPr>
                <w:rFonts w:ascii="Arial" w:cs="Arial" w:eastAsia="Arial" w:hAnsi="Arial"/>
                <w:sz w:val="18"/>
                <w:szCs w:val="18"/>
                <w:color w:val="auto"/>
                <w:w w:val="98"/>
              </w:rPr>
              <w:t>Accretion of fair value adjustments on deposits,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8"/>
          </w:tcPr>
          <w:p>
            <w:pPr>
              <w:ind w:left="340"/>
              <w:spacing w:after="0"/>
              <w:rPr>
                <w:sz w:val="20"/>
                <w:szCs w:val="20"/>
                <w:color w:val="auto"/>
              </w:rPr>
            </w:pPr>
            <w:r>
              <w:rPr>
                <w:rFonts w:ascii="Arial" w:cs="Arial" w:eastAsia="Arial" w:hAnsi="Arial"/>
                <w:sz w:val="18"/>
                <w:szCs w:val="18"/>
                <w:color w:val="auto"/>
                <w:w w:val="93"/>
              </w:rPr>
              <w:t>Accretion of fair value adjustments on borrowings,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7"/>
              </w:rPr>
              <w:t>Originations of loans held for sale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(62,911)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(106,770)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340"/>
              <w:spacing w:after="0"/>
              <w:rPr>
                <w:sz w:val="20"/>
                <w:szCs w:val="20"/>
                <w:color w:val="auto"/>
              </w:rPr>
            </w:pPr>
            <w:r>
              <w:rPr>
                <w:rFonts w:ascii="Arial" w:cs="Arial" w:eastAsia="Arial" w:hAnsi="Arial"/>
                <w:sz w:val="18"/>
                <w:szCs w:val="18"/>
                <w:color w:val="auto"/>
                <w:w w:val="97"/>
              </w:rPr>
              <w:t>Net proceeds from sales of loans held for sale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8"/>
                <w:szCs w:val="18"/>
                <w:color w:val="auto"/>
              </w:rPr>
              <w:t>62,823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2"/>
              </w:rPr>
              <w:t>Gain on sales of loans held for sale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(1,145)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Gain on sales of portfolio loans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ind w:left="340"/>
              <w:spacing w:after="0"/>
              <w:rPr>
                <w:sz w:val="20"/>
                <w:szCs w:val="20"/>
                <w:color w:val="auto"/>
              </w:rPr>
            </w:pPr>
            <w:r>
              <w:rPr>
                <w:rFonts w:ascii="Arial" w:cs="Arial" w:eastAsia="Arial" w:hAnsi="Arial"/>
                <w:sz w:val="18"/>
                <w:szCs w:val="18"/>
                <w:color w:val="auto"/>
              </w:rPr>
              <w:t>Bank-owned life insurance income,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Depreciation of premises and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ind w:left="340"/>
              <w:spacing w:after="0"/>
              <w:rPr>
                <w:sz w:val="20"/>
                <w:szCs w:val="20"/>
                <w:color w:val="auto"/>
              </w:rPr>
            </w:pPr>
            <w:r>
              <w:rPr>
                <w:rFonts w:ascii="Arial" w:cs="Arial" w:eastAsia="Arial" w:hAnsi="Arial"/>
                <w:sz w:val="18"/>
                <w:szCs w:val="18"/>
                <w:color w:val="auto"/>
                <w:w w:val="92"/>
              </w:rPr>
              <w:t>Loss on disposal of premises and equipment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5"/>
              </w:rPr>
              <w:t>Net gain on sale of available-for-sale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securities, net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(1,978)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52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w w:val="94"/>
              </w:rPr>
              <w:t>Net cash (used in) provided by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(4,115)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6"/>
          </w:tcPr>
          <w:p>
            <w:pPr>
              <w:ind w:left="160"/>
              <w:spacing w:after="0"/>
              <w:rPr>
                <w:sz w:val="20"/>
                <w:szCs w:val="20"/>
                <w:color w:val="auto"/>
              </w:rPr>
            </w:pPr>
            <w:r>
              <w:rPr>
                <w:rFonts w:ascii="Arial" w:cs="Arial" w:eastAsia="Arial" w:hAnsi="Arial"/>
                <w:sz w:val="18"/>
                <w:szCs w:val="18"/>
                <w:color w:val="auto"/>
                <w:w w:val="92"/>
              </w:rPr>
              <w:t>Proceeds from sales of available-for-sale securities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(42,340)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(167,294)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14"/>
          </w:tcPr>
          <w:p>
            <w:pPr>
              <w:ind w:left="160"/>
              <w:spacing w:after="0"/>
              <w:rPr>
                <w:sz w:val="20"/>
                <w:szCs w:val="20"/>
                <w:color w:val="auto"/>
              </w:rPr>
            </w:pPr>
            <w:r>
              <w:rPr>
                <w:rFonts w:ascii="Arial" w:cs="Arial" w:eastAsia="Arial" w:hAnsi="Arial"/>
                <w:sz w:val="18"/>
                <w:szCs w:val="18"/>
                <w:color w:val="auto"/>
                <w:w w:val="90"/>
              </w:rPr>
              <w:t>Proceeds from maturities and principal payments on available-for-sale securities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8"/>
                <w:szCs w:val="18"/>
                <w:color w:val="auto"/>
              </w:rPr>
              <w:t>50,682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 purchases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(46,267)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ind w:left="160"/>
              <w:spacing w:after="0"/>
              <w:rPr>
                <w:sz w:val="20"/>
                <w:szCs w:val="20"/>
                <w:color w:val="auto"/>
              </w:rPr>
            </w:pPr>
            <w:r>
              <w:rPr>
                <w:rFonts w:ascii="Arial" w:cs="Arial" w:eastAsia="Arial" w:hAnsi="Arial"/>
                <w:sz w:val="18"/>
                <w:szCs w:val="18"/>
                <w:color w:val="auto"/>
                <w:w w:val="93"/>
              </w:rPr>
              <w:t>Loan originations and principal collections, net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(33,757)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Purchases of premises and equipment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ind w:left="160"/>
              <w:spacing w:after="0"/>
              <w:rPr>
                <w:sz w:val="20"/>
                <w:szCs w:val="20"/>
                <w:color w:val="auto"/>
              </w:rPr>
            </w:pPr>
            <w:r>
              <w:rPr>
                <w:rFonts w:ascii="Arial" w:cs="Arial" w:eastAsia="Arial" w:hAnsi="Arial"/>
                <w:sz w:val="18"/>
                <w:szCs w:val="18"/>
                <w:color w:val="auto"/>
                <w:w w:val="89"/>
              </w:rPr>
              <w:t>Proceeds from sales of premises and equipment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12"/>
            <w:shd w:val="clear" w:color="auto" w:fill="CCEEFF"/>
          </w:tcPr>
          <w:p>
            <w:pPr>
              <w:ind w:left="160"/>
              <w:spacing w:after="0"/>
              <w:rPr>
                <w:sz w:val="20"/>
                <w:szCs w:val="20"/>
                <w:color w:val="auto"/>
              </w:rPr>
            </w:pPr>
            <w:r>
              <w:rPr>
                <w:rFonts w:ascii="Arial" w:cs="Arial" w:eastAsia="Arial" w:hAnsi="Arial"/>
                <w:sz w:val="18"/>
                <w:szCs w:val="18"/>
                <w:color w:val="auto"/>
                <w:w w:val="87"/>
              </w:rPr>
              <w:t>Proceeds from sales of real estate owned and other repossessed collateral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w w:val="93"/>
              </w:rPr>
              <w:t>Proceeds from life insurance benefits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5"/>
              </w:rPr>
              <w:t>Proceeds from redemption of regulatory stock</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w w:val="92"/>
              </w:rPr>
              <w:t>Proceeds from sales of portfolio loans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5,575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7"/>
              </w:rPr>
              <w:t>Net cash used in investing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(65,639)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-6536055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-6536055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79,176</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short-term borrowings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Dividends paid on preferred stock</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Proceeds from (repayment of) FHLB advances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15,000</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offering costs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Repayment of wholesale repurchase agreements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preferred stock and warrants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78,183</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65,934</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real estate owned and other repossessed collateral to loans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w w:val="99"/>
              </w:rPr>
              <w:t>Transfers from premises and equipment to real estate owned and other repossessed collateral</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financial statements and notes should be read in conjunction with the audited consolidated financial statements and notes thereto for the fiscal year ended June 30, 2013 (“Fiscal 2013”) included in the Company’s Annual Report on Form 10-K filed with the Securities and Exchange Commission.</w:t>
      </w:r>
    </w:p>
    <w:p>
      <w:pPr>
        <w:spacing w:after="0" w:line="17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Accounting Standards Update (“ASU”) No. 2011-11, </w:t>
      </w:r>
      <w:r>
        <w:rPr>
          <w:rFonts w:ascii="Arial" w:cs="Arial" w:eastAsia="Arial" w:hAnsi="Arial"/>
          <w:sz w:val="18"/>
          <w:szCs w:val="18"/>
          <w:i w:val="1"/>
          <w:iCs w:val="1"/>
          <w:color w:val="auto"/>
        </w:rPr>
        <w:t>Balance Sheet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210): Disclosures about Offsetting Assets and Liabilities </w:t>
      </w:r>
      <w:r>
        <w:rPr>
          <w:rFonts w:ascii="Arial" w:cs="Arial" w:eastAsia="Arial" w:hAnsi="Arial"/>
          <w:sz w:val="18"/>
          <w:szCs w:val="18"/>
          <w:color w:val="auto"/>
        </w:rPr>
        <w:t>(“ASU 2011-11”). The update requires entities to disclose information about offsetting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of financial 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adoption of this guidance did not have a material impact on the consolidated financial statements.</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 xml:space="preserve">In January 2013, the FASB issued ASU No. 2013-01,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xml:space="preserve"> (“ASU 2013-01”). The amendments clarify that the scope of Update 2011-11 applies to derivatives accounted for in accordance with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new standards are effective for annual periods beginning January 1, 2013 and for interim periods within those annual periods. Retrospective application is required. The adoption of this guidance did not have a material impact on the consolidated financial statements.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July 2013, the FASB issued ASU No. 2013-10, </w:t>
      </w:r>
      <w:r>
        <w:rPr>
          <w:rFonts w:ascii="Arial" w:cs="Arial" w:eastAsia="Arial" w:hAnsi="Arial"/>
          <w:sz w:val="18"/>
          <w:szCs w:val="18"/>
          <w:i w:val="1"/>
          <w:iCs w:val="1"/>
          <w:color w:val="auto"/>
        </w:rPr>
        <w:t>Derivatives and Hedging (Topic 815): Inclusion of the Fed Funds Effective Swap Rate (or Overnight Index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Swap Rate) as a Benchmark Interest Rate for Hedge Accounting Purposes </w:t>
      </w:r>
      <w:r>
        <w:rPr>
          <w:rFonts w:ascii="Arial" w:cs="Arial" w:eastAsia="Arial" w:hAnsi="Arial"/>
          <w:sz w:val="18"/>
          <w:szCs w:val="18"/>
          <w:color w:val="auto"/>
        </w:rPr>
        <w:t>(“ASU 2013-30”). The amendments in ASU 2013-30 permit the Fed Funds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Swap Rate (OIS) to be used as a U.S. benchmark interest rate for hedge accounting purposes under Topic 815, in addition to UST and LIBOR. The amendments also remove the restriction on using different benchmark rates for similar hedges. The amendments are effective prospectively for qualifying new or redesignated hedging relationships entered into on or after July 17, 2013. ASU 2013-30 may impact the accounting for interest rate hedging relationships entered into after July 17, 2013.</w:t>
      </w:r>
    </w:p>
    <w:p>
      <w:pPr>
        <w:spacing w:after="0" w:line="19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 xml:space="preserve">In January 2014, the FASB issued ASU No. 2014-04, </w:t>
      </w:r>
      <w:r>
        <w:rPr>
          <w:rFonts w:ascii="Arial" w:cs="Arial" w:eastAsia="Arial" w:hAnsi="Arial"/>
          <w:sz w:val="16"/>
          <w:szCs w:val="16"/>
          <w:i w:val="1"/>
          <w:iCs w:val="1"/>
          <w:color w:val="auto"/>
        </w:rPr>
        <w:t>Receivables (Topic 310): Troubled Debt Restructurings by Creditors</w:t>
      </w:r>
      <w:r>
        <w:rPr>
          <w:rFonts w:ascii="Arial" w:cs="Arial" w:eastAsia="Arial" w:hAnsi="Arial"/>
          <w:sz w:val="16"/>
          <w:szCs w:val="16"/>
          <w:color w:val="auto"/>
        </w:rPr>
        <w:t xml:space="preserve"> (“ASU 2014-04”). The amendments clarify that when an in substance repossession or foreclosure occurs,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Additionally, the amendments require interim and annual disclosure of both</w:t>
      </w:r>
    </w:p>
    <w:p>
      <w:pPr>
        <w:spacing w:after="0" w:line="2" w:lineRule="exact"/>
        <w:rPr>
          <w:sz w:val="20"/>
          <w:szCs w:val="20"/>
          <w:color w:val="auto"/>
        </w:rPr>
      </w:pPr>
    </w:p>
    <w:p>
      <w:pPr>
        <w:ind w:right="80" w:firstLine="8"/>
        <w:spacing w:after="0" w:line="323"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of foreclosed residential real estate property held by the creditor and (ii) the recorded investment in consumer mortgage loans collateralized by residential real estate property that are in the process of foreclosure according to local requirements of the applicable jurisdiction. The amendments ASU</w:t>
      </w:r>
    </w:p>
    <w:p>
      <w:pPr>
        <w:sectPr>
          <w:pgSz w:w="11900" w:h="16974" w:orient="portrait"/>
          <w:cols w:equalWidth="0" w:num="1">
            <w:col w:w="11420"/>
          </w:cols>
          <w:pgMar w:left="240" w:top="140" w:right="239" w:bottom="0" w:gutter="0" w:footer="0" w:header="0"/>
        </w:sectPr>
      </w:pPr>
    </w:p>
    <w:bookmarkStart w:id="6" w:name="page7"/>
    <w:bookmarkEnd w:id="6"/>
    <w:p>
      <w:pPr>
        <w:ind w:right="40"/>
        <w:spacing w:after="0" w:line="276" w:lineRule="auto"/>
        <w:rPr>
          <w:sz w:val="20"/>
          <w:szCs w:val="20"/>
          <w:color w:val="auto"/>
        </w:rPr>
      </w:pPr>
      <w:r>
        <w:rPr>
          <w:rFonts w:ascii="Arial" w:cs="Arial" w:eastAsia="Arial" w:hAnsi="Arial"/>
          <w:sz w:val="17"/>
          <w:szCs w:val="17"/>
          <w:color w:val="auto"/>
        </w:rPr>
        <w:t>2014-04 are effective for annual periods, and interim periods within those annual periods, beginning after December 15, 2014. An entity can elect to adopt the amendments in ASU 2014-04 using either a modified retrospective transition method or a prospective transition method. Under the modified retrospective transition method, an entity should apply the amendments by means of a cumulative-effect adjustment to residential consumer mortgage loans and foreclosed residential real estate properties existing as of the beginning of the annual period for which the amendments are effective. The Company does not expect ASU 2014-04 to have material impact on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and Property, Plant, and Equipment (Topic 360):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Reporting Discontinued Operations and Disclosures of Disposals of Components of an Entity </w:t>
      </w:r>
      <w:r>
        <w:rPr>
          <w:rFonts w:ascii="Arial" w:cs="Arial" w:eastAsia="Arial" w:hAnsi="Arial"/>
          <w:sz w:val="18"/>
          <w:szCs w:val="18"/>
          <w:color w:val="auto"/>
        </w:rPr>
        <w:t>(“ASU 2014-08”). Under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ASU 2014-08, only disposals that represent a strategic shift that has (or will have) a major effect on the entity’s results and operations would qualify as discontinued operations. In addition, ASU 2014-08 (1) expands the disclosure requirements for disposals that meet the definition of a discontinued operation,</w:t>
      </w:r>
    </w:p>
    <w:p>
      <w:pPr>
        <w:jc w:val="both"/>
        <w:ind w:right="2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entities to disclose information about disposals of individually significant components, and (3) updates the current definition of “discontinued operations.” The amendments are effective prospectively within annual periods beginning on or after December 15, 2014. The Company does not expect ASU 2014-08 to have a material impact on the consolidated financial statements.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securities available for 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6"/>
              </w:rPr>
              <w:t>March 31, 2014</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300" w:type="dxa"/>
            <w:vAlign w:val="bottom"/>
          </w:tcPr>
          <w:p>
            <w:pPr>
              <w:spacing w:after="0"/>
              <w:rPr>
                <w:sz w:val="10"/>
                <w:szCs w:val="10"/>
                <w:color w:val="auto"/>
              </w:rPr>
            </w:pPr>
          </w:p>
        </w:tc>
        <w:tc>
          <w:tcPr>
            <w:tcW w:w="106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69,592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(2,151)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67,441</w:t>
            </w:r>
          </w:p>
        </w:tc>
      </w:tr>
      <w:tr>
        <w:trPr>
          <w:trHeight w:val="223"/>
        </w:trPr>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June 30, 2013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1"/>
              <w:spacing w:after="0" w:line="119" w:lineRule="exact"/>
              <w:rPr>
                <w:sz w:val="20"/>
                <w:szCs w:val="20"/>
                <w:color w:val="auto"/>
              </w:rPr>
            </w:pPr>
            <w:r>
              <w:rPr>
                <w:rFonts w:ascii="Arial" w:cs="Arial" w:eastAsia="Arial" w:hAnsi="Arial"/>
                <w:sz w:val="13"/>
                <w:szCs w:val="13"/>
                <w:b w:val="1"/>
                <w:bCs w:val="1"/>
                <w:color w:val="auto"/>
              </w:rPr>
              <w:t>Gross Unrealized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300" w:type="dxa"/>
            <w:vAlign w:val="bottom"/>
          </w:tcPr>
          <w:p>
            <w:pPr>
              <w:spacing w:after="0"/>
              <w:rPr>
                <w:sz w:val="10"/>
                <w:szCs w:val="10"/>
                <w:color w:val="auto"/>
              </w:rPr>
            </w:pPr>
          </w:p>
        </w:tc>
        <w:tc>
          <w:tcPr>
            <w:tcW w:w="106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8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78,944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(2,680)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76,264</w:t>
            </w:r>
          </w:p>
        </w:tc>
      </w:tr>
      <w:tr>
        <w:trPr>
          <w:trHeight w:val="223"/>
        </w:trPr>
        <w:tc>
          <w:tcPr>
            <w:tcW w:w="3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34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4"/>
                <w:szCs w:val="14"/>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3840" w:type="dxa"/>
            <w:vAlign w:val="bottom"/>
          </w:tcPr>
          <w:p>
            <w:pPr>
              <w:spacing w:after="0"/>
              <w:rPr>
                <w:sz w:val="12"/>
                <w:szCs w:val="12"/>
                <w:color w:val="auto"/>
              </w:rPr>
            </w:pPr>
          </w:p>
        </w:tc>
        <w:tc>
          <w:tcPr>
            <w:tcW w:w="102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Gross realized losses</w:t>
            </w:r>
          </w:p>
        </w:tc>
        <w:tc>
          <w:tcPr>
            <w:tcW w:w="102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2014, investment securities with a fair value of approximately $30.0 million were pledged as collateral to secure outstanding borrowings.</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March 31, 2014</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More than 12 Months</w:t>
            </w:r>
          </w:p>
        </w:tc>
        <w:tc>
          <w:tcPr>
            <w:tcW w:w="22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33,273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32,147</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35,294</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67,441</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(2,151)</w:t>
            </w:r>
          </w:p>
        </w:tc>
      </w:tr>
      <w:tr>
        <w:trPr>
          <w:trHeight w:val="223"/>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65,420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June 30, 2013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More than 12 Months</w:t>
            </w:r>
          </w:p>
        </w:tc>
        <w:tc>
          <w:tcPr>
            <w:tcW w:w="22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r>
      <w:tr>
        <w:trPr>
          <w:trHeight w:val="171"/>
        </w:trPr>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76,264</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76,264</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(2,680)</w:t>
            </w:r>
          </w:p>
        </w:tc>
      </w:tr>
      <w:tr>
        <w:trPr>
          <w:trHeight w:val="223"/>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76,264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2014 or 2013.</w:t>
      </w:r>
    </w:p>
    <w:p>
      <w:pPr>
        <w:sectPr>
          <w:pgSz w:w="11900" w:h="16838" w:orient="portrait"/>
          <w:cols w:equalWidth="0" w:num="1">
            <w:col w:w="11380"/>
          </w:cols>
          <w:pgMar w:left="240" w:top="125" w:right="279" w:bottom="0" w:gutter="0" w:footer="0" w:header="0"/>
        </w:sectPr>
      </w:pPr>
    </w:p>
    <w:bookmarkStart w:id="7" w:name="page8"/>
    <w:bookmarkEnd w:id="7"/>
    <w:p>
      <w:pPr>
        <w:spacing w:after="0" w:line="1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March 31, 2014, the Company had eleven securities in a continuous loss position for greater than twelve months. At March 31, 2014, all of the Company’s available-for-sale securities were issued or guaranteed by either government agencies or government-sponsored enterprises. The decline in fair value of the Company’s available-for-sale securities at March 31, 2014 is attributable to changes in interest rates.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March 31, 2014.</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amortized cost and fair values of available-for-sale debt securities by contractual maturity are shown below as of March 31, 2014. Actual maturities may differ from contractual maturities because borrowers may have the right to prepay obligations without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500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500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5"/>
          </w:tcPr>
          <w:p>
            <w:pPr>
              <w:jc w:val="right"/>
              <w:ind w:right="5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50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500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42,323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42,286</w:t>
            </w:r>
          </w:p>
        </w:tc>
        <w:tc>
          <w:tcPr>
            <w:tcW w:w="50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35,719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35,045</w:t>
            </w:r>
          </w:p>
        </w:tc>
        <w:tc>
          <w:tcPr>
            <w:tcW w:w="5000" w:type="dxa"/>
            <w:vAlign w:val="bottom"/>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Due after ten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33,873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32,396</w:t>
            </w:r>
          </w:p>
        </w:tc>
        <w:tc>
          <w:tcPr>
            <w:tcW w:w="5000" w:type="dxa"/>
            <w:vAlign w:val="bottom"/>
          </w:tcPr>
          <w:p>
            <w:pPr>
              <w:spacing w:after="0"/>
              <w:rPr>
                <w:sz w:val="18"/>
                <w:szCs w:val="18"/>
                <w:color w:val="auto"/>
              </w:rPr>
            </w:pPr>
          </w:p>
        </w:tc>
      </w:tr>
      <w:tr>
        <w:trPr>
          <w:trHeight w:val="210"/>
        </w:trPr>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13"/>
        </w:trPr>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7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32"/>
        </w:trPr>
        <w:tc>
          <w:tcPr>
            <w:tcW w:w="32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2014</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2013</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Originated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Originated</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2"/>
              </w:rPr>
              <w:t>Purchased</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92,440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29,077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264,448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10,828</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13,337</w:t>
            </w: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460"/>
          </w:cols>
          <w:pgMar w:left="240" w:top="125" w:right="199" w:bottom="0" w:gutter="0" w:footer="0" w:header="0"/>
        </w:sectPr>
      </w:pPr>
    </w:p>
    <w:bookmarkStart w:id="8" w:name="page9"/>
    <w:bookmarkEnd w:id="8"/>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6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40" w:right="22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40" w:right="20"/>
        <w:spacing w:after="0" w:line="293"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and trends in delinquencies and nonperforming loans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significant changes in the Company’s policies or methodology pertaining to the general component of the allowance for loan losses during the three and nine months ended March 31, 2014 or 2013.</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74" w:orient="portrait"/>
          <w:cols w:equalWidth="0" w:num="1">
            <w:col w:w="11420"/>
          </w:cols>
          <w:pgMar w:left="240" w:top="341" w:right="239" w:bottom="0" w:gutter="0" w:footer="0" w:header="0"/>
        </w:sectPr>
      </w:pPr>
    </w:p>
    <w:bookmarkStart w:id="9" w:name="page10"/>
    <w:bookmarkEnd w:id="9"/>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separately identify individual consumer and residential loans for individual impairment and disclosure. However, all TDRs are individually reviewed for impairment.</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 2014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 2013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Nine Months Ended March 31, 2014</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Nine Months Ended March 31, 2013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Purchased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Unallocated</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Business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 2014</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1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40" w:type="dxa"/>
            <w:vAlign w:val="bottom"/>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Commercial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Purchased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8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9"/>
              </w:rPr>
              <w:t>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41"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116,425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179,302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179,302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2013</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Residential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Commercial</w:t>
            </w:r>
          </w:p>
        </w:tc>
        <w:tc>
          <w:tcPr>
            <w:tcW w:w="140" w:type="dxa"/>
            <w:vAlign w:val="bottom"/>
          </w:tcPr>
          <w:p>
            <w:pPr>
              <w:spacing w:after="0"/>
              <w:rPr>
                <w:sz w:val="10"/>
                <w:szCs w:val="10"/>
                <w:color w:val="auto"/>
              </w:rPr>
            </w:pPr>
          </w:p>
        </w:tc>
        <w:tc>
          <w:tcPr>
            <w:tcW w:w="9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Commercial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Purchased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Real Estate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Business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ASC 310-30</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2014</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Unpaid</w:t>
            </w:r>
          </w:p>
        </w:tc>
        <w:tc>
          <w:tcPr>
            <w:tcW w:w="18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ind w:left="3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5"/>
              </w:rPr>
              <w:t>Three Months Ended March 31,</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116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1,117</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762</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8"/>
                <w:szCs w:val="18"/>
                <w:color w:val="auto"/>
                <w:w w:val="79"/>
              </w:rPr>
              <w:t>10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9"/>
              </w:rPr>
              <w:t>37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500" w:type="dxa"/>
            <w:vAlign w:val="bottom"/>
          </w:tcPr>
          <w:p>
            <w:pPr>
              <w:ind w:left="540"/>
              <w:spacing w:after="0"/>
              <w:rPr>
                <w:sz w:val="20"/>
                <w:szCs w:val="20"/>
                <w:color w:val="auto"/>
              </w:rPr>
            </w:pPr>
            <w:r>
              <w:rPr>
                <w:rFonts w:ascii="Arial" w:cs="Arial" w:eastAsia="Arial" w:hAnsi="Arial"/>
                <w:sz w:val="18"/>
                <w:szCs w:val="18"/>
                <w:color w:val="auto"/>
              </w:rPr>
              <w:t>Total impaired loans</w:t>
            </w:r>
          </w:p>
        </w:tc>
        <w:tc>
          <w:tcPr>
            <w:tcW w:w="150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94</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w w:val="95"/>
              </w:rPr>
              <w:t>Nine Months Ended March 31,</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Average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116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Recorded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0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Originated: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Total impaired loans</w:t>
            </w:r>
          </w:p>
        </w:tc>
        <w:tc>
          <w:tcPr>
            <w:tcW w:w="8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business, and certain residential loans as follows: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liquidation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500"/>
              <w:spacing w:after="0" w:line="142" w:lineRule="exact"/>
              <w:rPr>
                <w:sz w:val="20"/>
                <w:szCs w:val="20"/>
                <w:color w:val="auto"/>
              </w:rPr>
            </w:pPr>
            <w:r>
              <w:rPr>
                <w:rFonts w:ascii="Arial" w:cs="Arial" w:eastAsia="Arial" w:hAnsi="Arial"/>
                <w:sz w:val="14"/>
                <w:szCs w:val="14"/>
                <w:b w:val="1"/>
                <w:bCs w:val="1"/>
                <w:color w:val="auto"/>
              </w:rPr>
              <w:t>Originated Portfolio</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7"/>
              </w:rPr>
              <w:t>Purchased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Construction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Residential(1)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17,807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2" w:name="page13"/>
    <w:bookmarkEnd w:id="12"/>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118,684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49,549</w:t>
            </w:r>
          </w:p>
        </w:tc>
        <w:tc>
          <w:tcPr>
            <w:tcW w:w="14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13,279</w:t>
            </w:r>
          </w:p>
        </w:tc>
        <w:tc>
          <w:tcPr>
            <w:tcW w:w="2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184,959</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6"/>
              </w:rPr>
              <w:t>366,471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June 30, 2013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8"/>
          </w:tcPr>
          <w:p>
            <w:pPr>
              <w:ind w:left="580"/>
              <w:spacing w:after="0" w:line="142" w:lineRule="exact"/>
              <w:rPr>
                <w:sz w:val="20"/>
                <w:szCs w:val="20"/>
                <w:color w:val="auto"/>
              </w:rPr>
            </w:pPr>
            <w:r>
              <w:rPr>
                <w:rFonts w:ascii="Arial" w:cs="Arial" w:eastAsia="Arial" w:hAnsi="Arial"/>
                <w:sz w:val="14"/>
                <w:szCs w:val="14"/>
                <w:b w:val="1"/>
                <w:bCs w:val="1"/>
                <w:color w:val="auto"/>
              </w:rPr>
              <w:t>Originated Portfolio</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Residential(1)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Business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6"/>
          </w:tcPr>
          <w:p>
            <w:pPr>
              <w:ind w:lef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42</w:t>
            </w:r>
          </w:p>
        </w:tc>
        <w:tc>
          <w:tcPr>
            <w:tcW w:w="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29,340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13,110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Loans rated 7</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Loans rated 9</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79"/>
              </w:rPr>
              <w:t>42</w:t>
            </w:r>
          </w:p>
        </w:tc>
        <w:tc>
          <w:tcPr>
            <w:tcW w:w="1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14,275</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311,191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right="280" w:hanging="315"/>
        <w:spacing w:after="0" w:line="277" w:lineRule="auto"/>
        <w:tabs>
          <w:tab w:leader="none" w:pos="1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118,810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121,155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117,656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118,684</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49,549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49,549</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329,293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3,740</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2,987</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177,763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181,214</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514,252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2"/>
              </w:rPr>
              <w:t>June 30, 2013</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Past Due</w:t>
            </w:r>
          </w:p>
        </w:tc>
        <w:tc>
          <w:tcPr>
            <w:tcW w:w="300" w:type="dxa"/>
            <w:vAlign w:val="bottom"/>
          </w:tcPr>
          <w:p>
            <w:pPr>
              <w:spacing w:after="0"/>
              <w:rPr>
                <w:sz w:val="10"/>
                <w:szCs w:val="10"/>
                <w:color w:val="auto"/>
              </w:rPr>
            </w:pPr>
          </w:p>
        </w:tc>
        <w:tc>
          <w:tcPr>
            <w:tcW w:w="7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90 Days or</w:t>
            </w: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More-Still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More-</w:t>
            </w:r>
          </w:p>
        </w:tc>
        <w:tc>
          <w:tcPr>
            <w:tcW w:w="30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Accruing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Nonaccrual</w:t>
            </w:r>
          </w:p>
        </w:tc>
        <w:tc>
          <w:tcPr>
            <w:tcW w:w="3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Loans</w:t>
            </w:r>
          </w:p>
        </w:tc>
        <w:tc>
          <w:tcPr>
            <w:tcW w:w="14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87,083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100,402</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29,686</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2,706</w:t>
            </w: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160,701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164,046</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17" w:lineRule="exact"/>
        <w:rPr>
          <w:sz w:val="20"/>
          <w:szCs w:val="20"/>
          <w:color w:val="auto"/>
        </w:rPr>
      </w:pPr>
    </w:p>
    <w:tbl>
      <w:tblPr>
        <w:tblLayout w:type="fixed"/>
        <w:tblInd w:w="2420" w:type="dxa"/>
        <w:tblCellMar>
          <w:top w:w="0" w:type="dxa"/>
          <w:left w:w="0" w:type="dxa"/>
          <w:bottom w:w="0" w:type="dxa"/>
          <w:right w:w="0" w:type="dxa"/>
        </w:tblCellMar>
      </w:tblPr>
      <w:tr>
        <w:trPr>
          <w:trHeight w:val="171"/>
        </w:trPr>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b w:val="1"/>
                <w:bCs w:val="1"/>
                <w:color w:val="auto"/>
                <w:w w:val="94"/>
              </w:rPr>
              <w:t>Nine Months Ended March 31,</w:t>
            </w:r>
          </w:p>
        </w:tc>
      </w:tr>
      <w:tr>
        <w:trPr>
          <w:trHeight w:val="180"/>
        </w:trPr>
        <w:tc>
          <w:tcPr>
            <w:tcW w:w="3160" w:type="dxa"/>
            <w:vAlign w:val="bottom"/>
          </w:tcPr>
          <w:p>
            <w:pPr>
              <w:jc w:val="right"/>
              <w:ind w:right="1928"/>
              <w:spacing w:after="0"/>
              <w:rPr>
                <w:sz w:val="20"/>
                <w:szCs w:val="20"/>
                <w:color w:val="auto"/>
              </w:rPr>
            </w:pPr>
            <w:r>
              <w:rPr>
                <w:rFonts w:ascii="Arial" w:cs="Arial" w:eastAsia="Arial" w:hAnsi="Arial"/>
                <w:sz w:val="14"/>
                <w:szCs w:val="14"/>
                <w:b w:val="1"/>
                <w:bCs w:val="1"/>
                <w:color w:val="auto"/>
              </w:rPr>
              <w:t>2014</w:t>
            </w:r>
          </w:p>
        </w:tc>
        <w:tc>
          <w:tcPr>
            <w:tcW w:w="1200" w:type="dxa"/>
            <w:vAlign w:val="bottom"/>
          </w:tcPr>
          <w:p>
            <w:pPr>
              <w:jc w:val="right"/>
              <w:ind w:right="828"/>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120" w:type="dxa"/>
            <w:vAlign w:val="bottom"/>
          </w:tcPr>
          <w:p>
            <w:pPr>
              <w:jc w:val="right"/>
              <w:ind w:right="808"/>
              <w:spacing w:after="0"/>
              <w:rPr>
                <w:sz w:val="20"/>
                <w:szCs w:val="20"/>
                <w:color w:val="auto"/>
              </w:rPr>
            </w:pPr>
            <w:r>
              <w:rPr>
                <w:rFonts w:ascii="Arial" w:cs="Arial" w:eastAsia="Arial" w:hAnsi="Arial"/>
                <w:sz w:val="14"/>
                <w:szCs w:val="14"/>
                <w:b w:val="1"/>
                <w:bCs w:val="1"/>
                <w:color w:val="auto"/>
              </w:rPr>
              <w:t>2013</w:t>
            </w:r>
          </w:p>
        </w:tc>
      </w:tr>
    </w:tbl>
    <w:p>
      <w:pPr>
        <w:sectPr>
          <w:pgSz w:w="11900" w:h="16949"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2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4"/>
              <w:spacing w:after="0" w:line="13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5"/>
              <w:spacing w:after="0" w:line="139" w:lineRule="exact"/>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40"/>
              <w:spacing w:after="0" w:line="139"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4"/>
              <w:spacing w:after="0" w:line="139" w:lineRule="exact"/>
              <w:rPr>
                <w:sz w:val="20"/>
                <w:szCs w:val="20"/>
                <w:color w:val="auto"/>
              </w:rPr>
            </w:pPr>
            <w:r>
              <w:rPr>
                <w:rFonts w:ascii="Arial" w:cs="Arial" w:eastAsia="Arial" w:hAnsi="Arial"/>
                <w:sz w:val="14"/>
                <w:szCs w:val="14"/>
                <w:b w:val="1"/>
                <w:bCs w:val="1"/>
                <w:color w:val="auto"/>
                <w:w w:val="89"/>
              </w:rPr>
              <w:t>Recorded</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40"/>
              <w:spacing w:after="0" w:line="139" w:lineRule="exact"/>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4"/>
              <w:spacing w:after="0" w:line="13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r>
      <w:tr>
        <w:trPr>
          <w:trHeight w:val="171"/>
        </w:trPr>
        <w:tc>
          <w:tcPr>
            <w:tcW w:w="24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Investment</w:t>
            </w:r>
          </w:p>
        </w:tc>
      </w:tr>
      <w:tr>
        <w:trPr>
          <w:trHeight w:val="142"/>
        </w:trPr>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2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12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Recorded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Post-Modification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Pre-Modification</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Nine Months Ended March 31,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9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12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Contracts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Post-Modification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Pre-Modification</w:t>
            </w:r>
          </w:p>
        </w:tc>
        <w:tc>
          <w:tcPr>
            <w:tcW w:w="10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Post-Modification</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loans that have been modified during the past twelve months which have subsequently defaulted during the periods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 loan to have defaulted when it reaches 90 days past due.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 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2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bottom w:val="single" w:sz="8" w:color="auto"/>
            </w:tcBorders>
            <w:gridSpan w:val="4"/>
          </w:tcPr>
          <w:p>
            <w:pPr>
              <w:jc w:val="right"/>
              <w:ind w:right="5"/>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212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Recorded</w:t>
            </w:r>
          </w:p>
        </w:tc>
        <w:tc>
          <w:tcPr>
            <w:tcW w:w="240" w:type="dxa"/>
            <w:vAlign w:val="bottom"/>
          </w:tcPr>
          <w:p>
            <w:pPr>
              <w:spacing w:after="0"/>
              <w:rPr>
                <w:sz w:val="10"/>
                <w:szCs w:val="10"/>
                <w:color w:val="auto"/>
              </w:rPr>
            </w:pPr>
          </w:p>
        </w:tc>
        <w:tc>
          <w:tcPr>
            <w:tcW w:w="10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0"/>
                <w:szCs w:val="10"/>
                <w:color w:val="auto"/>
              </w:rPr>
            </w:pPr>
          </w:p>
        </w:tc>
        <w:tc>
          <w:tcPr>
            <w:tcW w:w="10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0"/>
                <w:szCs w:val="10"/>
                <w:color w:val="auto"/>
              </w:rPr>
            </w:pPr>
          </w:p>
        </w:tc>
        <w:tc>
          <w:tcPr>
            <w:tcW w:w="11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Recorded</w:t>
            </w:r>
          </w:p>
        </w:tc>
        <w:tc>
          <w:tcPr>
            <w:tcW w:w="120" w:type="dxa"/>
            <w:vAlign w:val="bottom"/>
            <w:gridSpan w:val="2"/>
          </w:tcPr>
          <w:p>
            <w:pPr>
              <w:spacing w:after="0"/>
              <w:rPr>
                <w:sz w:val="10"/>
                <w:szCs w:val="10"/>
                <w:color w:val="auto"/>
              </w:rPr>
            </w:pPr>
          </w:p>
        </w:tc>
      </w:tr>
      <w:tr>
        <w:trPr>
          <w:trHeight w:val="171"/>
        </w:trPr>
        <w:tc>
          <w:tcPr>
            <w:tcW w:w="2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Investment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r>
      <w:tr>
        <w:trPr>
          <w:trHeight w:val="142"/>
        </w:trPr>
        <w:tc>
          <w:tcPr>
            <w:tcW w:w="2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Home equity</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660"/>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0"/>
        </w:trPr>
        <w:tc>
          <w:tcPr>
            <w:tcW w:w="2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79"/>
              </w:rPr>
              <w:t>36</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79"/>
              </w:rPr>
              <w:t>36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there were no further commitments to lend associated with loans modified in a TDR.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loans accounted for under ASC 310-30 that were acquired by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3"/>
                <w:szCs w:val="13"/>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4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2014</w:t>
            </w:r>
          </w:p>
        </w:tc>
      </w:tr>
      <w:tr>
        <w:trPr>
          <w:trHeight w:val="142"/>
        </w:trPr>
        <w:tc>
          <w:tcPr>
            <w:tcW w:w="4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077"/>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70,106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69,137</w:t>
            </w:r>
          </w:p>
        </w:tc>
        <w:tc>
          <w:tcPr>
            <w:tcW w:w="12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120"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Accretable yield</w:t>
            </w:r>
          </w:p>
        </w:tc>
        <w:tc>
          <w:tcPr>
            <w:tcW w:w="6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(10,348)</w:t>
            </w:r>
          </w:p>
        </w:tc>
        <w:tc>
          <w:tcPr>
            <w:tcW w:w="6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(22,870)</w:t>
            </w: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accretable yield for loans accounted for under ASC 310-30.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Pr>
          <w:p>
            <w:pPr>
              <w:spacing w:after="0"/>
              <w:rPr>
                <w:sz w:val="14"/>
                <w:szCs w:val="14"/>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 2014</w:t>
            </w:r>
          </w:p>
        </w:tc>
      </w:tr>
      <w:tr>
        <w:trPr>
          <w:trHeight w:val="142"/>
        </w:trPr>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4"/>
          </w:tcPr>
          <w:p>
            <w:pPr>
              <w:jc w:val="right"/>
              <w:ind w:right="10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gridSpan w:val="2"/>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108,251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Acquisitions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10,348</w:t>
            </w:r>
          </w:p>
        </w:tc>
        <w:tc>
          <w:tcPr>
            <w:tcW w:w="16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22,870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w:t>
            </w:r>
          </w:p>
        </w:tc>
        <w:tc>
          <w:tcPr>
            <w:tcW w:w="1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Reclassifications to accretable yield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846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(4,079)</w:t>
            </w:r>
          </w:p>
        </w:tc>
        <w:tc>
          <w:tcPr>
            <w:tcW w:w="1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(13,862)</w:t>
            </w: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End balance</w:t>
            </w:r>
          </w:p>
        </w:tc>
        <w:tc>
          <w:tcPr>
            <w:tcW w:w="1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106,653</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106,653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4"/>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203,755</w:t>
            </w:r>
          </w:p>
        </w:tc>
        <w:tc>
          <w:tcPr>
            <w:tcW w:w="8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19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182,654</w:t>
            </w:r>
          </w:p>
        </w:tc>
        <w:tc>
          <w:tcPr>
            <w:tcW w:w="2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166,506</w:t>
            </w:r>
          </w:p>
        </w:tc>
        <w:tc>
          <w:tcPr>
            <w:tcW w:w="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(Dollars in thousands, except share and per share data)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10,432,494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10,425,576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10,435,300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10,397,280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10,432,494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10,425,576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10,435,300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10,397,280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606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33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316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 March 31,</w:t>
            </w:r>
          </w:p>
        </w:tc>
        <w:tc>
          <w:tcPr>
            <w:tcW w:w="2320" w:type="dxa"/>
            <w:vAlign w:val="bottom"/>
          </w:tcPr>
          <w:p>
            <w:pPr>
              <w:spacing w:after="0"/>
              <w:rPr>
                <w:sz w:val="14"/>
                <w:szCs w:val="14"/>
                <w:color w:val="auto"/>
              </w:rPr>
            </w:pPr>
          </w:p>
        </w:tc>
      </w:tr>
      <w:tr>
        <w:trPr>
          <w:trHeight w:val="142"/>
        </w:trPr>
        <w:tc>
          <w:tcPr>
            <w:tcW w:w="26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2320" w:type="dxa"/>
            <w:vAlign w:val="bottom"/>
          </w:tcPr>
          <w:p>
            <w:pPr>
              <w:spacing w:after="0"/>
              <w:rPr>
                <w:sz w:val="12"/>
                <w:szCs w:val="12"/>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1,143,329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1,074,687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1,148,777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900,514</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Warrants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40,775</w:t>
            </w:r>
          </w:p>
        </w:tc>
        <w:tc>
          <w:tcPr>
            <w:tcW w:w="2320" w:type="dxa"/>
            <w:vAlign w:val="bottom"/>
          </w:tcPr>
          <w:p>
            <w:pPr>
              <w:spacing w:after="0"/>
              <w:rPr>
                <w:sz w:val="18"/>
                <w:szCs w:val="18"/>
                <w:color w:val="auto"/>
              </w:rPr>
            </w:pPr>
          </w:p>
        </w:tc>
      </w:tr>
      <w:tr>
        <w:trPr>
          <w:trHeight w:val="210"/>
        </w:trPr>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1,074,687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3"/>
        </w:trPr>
        <w:tc>
          <w:tcPr>
            <w:tcW w:w="2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32"/>
        </w:trPr>
        <w:tc>
          <w:tcPr>
            <w:tcW w:w="26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w:t>
      </w:r>
    </w:p>
    <w:p>
      <w:pPr>
        <w:sectPr>
          <w:pgSz w:w="11900" w:h="16838" w:orient="portrait"/>
          <w:cols w:equalWidth="0" w:num="1">
            <w:col w:w="11460"/>
          </w:cols>
          <w:pgMar w:left="240" w:top="125" w:right="199" w:bottom="0" w:gutter="0" w:footer="0" w:header="0"/>
        </w:sectPr>
      </w:pPr>
    </w:p>
    <w:bookmarkStart w:id="15" w:name="page16"/>
    <w:bookmarkEnd w:id="15"/>
    <w:p>
      <w:pPr>
        <w:ind w:right="1020"/>
        <w:spacing w:after="0" w:line="277" w:lineRule="auto"/>
        <w:rPr>
          <w:sz w:val="20"/>
          <w:szCs w:val="20"/>
          <w:color w:val="auto"/>
        </w:rPr>
      </w:pPr>
      <w:r>
        <w:rPr>
          <w:rFonts w:ascii="Arial" w:cs="Arial" w:eastAsia="Arial" w:hAnsi="Arial"/>
          <w:sz w:val="18"/>
          <w:szCs w:val="18"/>
          <w:color w:val="auto"/>
        </w:rPr>
        <w:t>measurement date. If there has been a significant decrease in the volume and level of activity for the asset or liability, regardless of the valuation technique(s) used, the objective of a fair value measurement remains the same.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ectPr>
          <w:pgSz w:w="11900" w:h="16838" w:orient="portrait"/>
          <w:cols w:equalWidth="0" w:num="1">
            <w:col w:w="11420"/>
          </w:cols>
          <w:pgMar w:left="240" w:top="125" w:right="239" w:bottom="56" w:gutter="0" w:footer="0" w:header="0"/>
        </w:sectPr>
      </w:pPr>
    </w:p>
    <w:bookmarkStart w:id="16" w:name="page17"/>
    <w:bookmarkEnd w:id="16"/>
    <w:p>
      <w:pPr>
        <w:spacing w:after="0" w:line="62"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 The fair value of the Company’s borrowings with the FHLB is estimated by discounting the cash flows through maturity or the next re-pricing date based on current rates available to the Company for borrowings with similar maturities. The fair value of the Company’s short-term borrowings, capital lease obligations, wholesale repurchase agreements and other borrowings is estimated by discounting the cash flows through maturity based on current rates available to the Company for borrowings with similar maturities.</w:t>
      </w:r>
    </w:p>
    <w:p>
      <w:pPr>
        <w:spacing w:after="0" w:line="187"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4"/>
                <w:szCs w:val="14"/>
                <w:b w:val="1"/>
                <w:bCs w:val="1"/>
                <w:color w:val="auto"/>
                <w:w w:val="94"/>
              </w:rPr>
              <w:t>March 31, 2014</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w w:val="92"/>
              </w:rPr>
              <w:t>Level 1</w:t>
            </w: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96"/>
              </w:rPr>
              <w:t>Level 2</w:t>
            </w: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ind w:left="6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45,291</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45,291</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67,441</w:t>
            </w:r>
          </w:p>
        </w:tc>
        <w:tc>
          <w:tcPr>
            <w:tcW w:w="9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67,441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333</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333</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w w:val="90"/>
              </w:rPr>
              <w:t>June 30, 2013</w:t>
            </w: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w w:val="92"/>
              </w:rPr>
              <w:t>Level 1</w:t>
            </w: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b w:val="1"/>
                <w:bCs w:val="1"/>
                <w:color w:val="auto"/>
                <w:w w:val="96"/>
              </w:rPr>
              <w:t>Level 2</w:t>
            </w: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ind w:left="6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Securities available-for-sale: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45,333</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45,333</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76,264</w:t>
            </w:r>
          </w:p>
        </w:tc>
        <w:tc>
          <w:tcPr>
            <w:tcW w:w="9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76,264</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389</w:t>
            </w:r>
          </w:p>
        </w:tc>
        <w:tc>
          <w:tcPr>
            <w:tcW w:w="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389</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60" w:type="dxa"/>
            <w:vAlign w:val="bottom"/>
            <w:gridSpan w:val="6"/>
          </w:tcPr>
          <w:p>
            <w:pPr>
              <w:spacing w:after="0"/>
              <w:rPr>
                <w:sz w:val="20"/>
                <w:szCs w:val="20"/>
                <w:color w:val="auto"/>
              </w:rPr>
            </w:pPr>
            <w:r>
              <w:rPr>
                <w:rFonts w:ascii="Arial" w:cs="Arial" w:eastAsia="Arial" w:hAnsi="Arial"/>
                <w:sz w:val="18"/>
                <w:szCs w:val="18"/>
                <w:color w:val="auto"/>
                <w:w w:val="90"/>
              </w:rPr>
              <w:t>Assets measured at fair value on a nonrecurring basis are summarized below.</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left="420"/>
              <w:spacing w:after="0"/>
              <w:rPr>
                <w:sz w:val="20"/>
                <w:szCs w:val="20"/>
                <w:color w:val="auto"/>
              </w:rPr>
            </w:pPr>
            <w:r>
              <w:rPr>
                <w:rFonts w:ascii="Arial" w:cs="Arial" w:eastAsia="Arial" w:hAnsi="Arial"/>
                <w:sz w:val="14"/>
                <w:szCs w:val="14"/>
                <w:b w:val="1"/>
                <w:bCs w:val="1"/>
                <w:color w:val="auto"/>
                <w:w w:val="96"/>
              </w:rPr>
              <w:t>March 31, 2014</w:t>
            </w: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jc w:val="center"/>
              <w:ind w:right="1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1,361</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Real estate owned and other repossessed collateral</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2,000</w:t>
            </w:r>
          </w:p>
        </w:tc>
        <w:tc>
          <w:tcPr>
            <w:tcW w:w="4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left="420"/>
              <w:spacing w:after="0"/>
              <w:rPr>
                <w:sz w:val="20"/>
                <w:szCs w:val="20"/>
                <w:color w:val="auto"/>
              </w:rPr>
            </w:pPr>
            <w:r>
              <w:rPr>
                <w:rFonts w:ascii="Arial" w:cs="Arial" w:eastAsia="Arial" w:hAnsi="Arial"/>
                <w:sz w:val="14"/>
                <w:szCs w:val="14"/>
                <w:b w:val="1"/>
                <w:bCs w:val="1"/>
                <w:color w:val="auto"/>
                <w:w w:val="92"/>
              </w:rPr>
              <w:t>June 30, 2013</w:t>
            </w: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Total</w:t>
            </w: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jc w:val="center"/>
              <w:ind w:right="1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Real estate owned and other repossessed collateral</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2,134</w:t>
            </w:r>
          </w:p>
        </w:tc>
        <w:tc>
          <w:tcPr>
            <w:tcW w:w="4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3"/>
          </w:tcPr>
          <w:p>
            <w:pPr>
              <w:jc w:val="right"/>
              <w:ind w:right="254"/>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7"/>
              </w:rPr>
              <w:t>Fair Value Measurements at March 31, 2014</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74,363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74,363</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74,363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112,732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112,732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5,721</w:t>
            </w:r>
          </w:p>
        </w:tc>
        <w:tc>
          <w:tcPr>
            <w:tcW w:w="4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5,721</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9,827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9,838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512,907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518,901</w:t>
            </w:r>
          </w:p>
        </w:tc>
        <w:tc>
          <w:tcPr>
            <w:tcW w:w="4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563,310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527,447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527,447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FHLB advances</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213"/>
              <w:spacing w:after="0"/>
              <w:rPr>
                <w:sz w:val="20"/>
                <w:szCs w:val="20"/>
                <w:color w:val="auto"/>
              </w:rPr>
            </w:pPr>
            <w:r>
              <w:rPr>
                <w:rFonts w:ascii="Arial" w:cs="Arial" w:eastAsia="Arial" w:hAnsi="Arial"/>
                <w:sz w:val="18"/>
                <w:szCs w:val="18"/>
                <w:color w:val="auto"/>
              </w:rPr>
              <w:t>42,878</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43,981</w:t>
            </w:r>
          </w:p>
        </w:tc>
        <w:tc>
          <w:tcPr>
            <w:tcW w:w="4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43,981</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7" w:name="page18"/>
    <w:bookmarkEnd w:id="17"/>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10,240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10,581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2,585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2,585</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2,585</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1,604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1,751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8,396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7,583</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8"/>
              </w:rPr>
              <w:t>Fair Value Measurements at June 30, 2013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65,934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65,934</w:t>
            </w:r>
          </w:p>
        </w:tc>
        <w:tc>
          <w:tcPr>
            <w:tcW w:w="44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65,934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121,597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121,597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5,721</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5,721</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8,594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8,602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434,233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444,988</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1,396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1,396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484,623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449,857</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449,857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FHLB advances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28,040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29,404</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 repurchase agreements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25,397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26,092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1,739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1,926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tcPr>
          <w:p>
            <w:pPr>
              <w:spacing w:after="0"/>
              <w:rPr>
                <w:sz w:val="18"/>
                <w:szCs w:val="18"/>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8,268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7,594</w:t>
            </w:r>
          </w:p>
        </w:tc>
        <w:tc>
          <w:tcPr>
            <w:tcW w:w="44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March 31, 2014, the Company had posted cash collateral totaling $1.0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prudent to limit the variability of a portion of its interest payments and, therefore, generally hedges a portion of its variable-rate interest payments.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March 31, 2014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2"/>
          </w:tcPr>
          <w:p>
            <w:pPr>
              <w:ind w:left="240"/>
              <w:spacing w:after="0" w:line="110" w:lineRule="exact"/>
              <w:rPr>
                <w:sz w:val="20"/>
                <w:szCs w:val="20"/>
                <w:color w:val="auto"/>
              </w:rPr>
            </w:pPr>
            <w:r>
              <w:rPr>
                <w:rFonts w:ascii="Arial" w:cs="Arial" w:eastAsia="Arial" w:hAnsi="Arial"/>
                <w:sz w:val="12"/>
                <w:szCs w:val="12"/>
                <w:b w:val="1"/>
                <w:bCs w:val="1"/>
                <w:color w:val="auto"/>
              </w:rPr>
              <w:t>Notional</w:t>
            </w:r>
          </w:p>
        </w:tc>
        <w:tc>
          <w:tcPr>
            <w:tcW w:w="13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Receive</w:t>
            </w:r>
          </w:p>
        </w:tc>
        <w:tc>
          <w:tcPr>
            <w:tcW w:w="9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237"/>
              <w:spacing w:after="0" w:line="110" w:lineRule="exact"/>
              <w:rPr>
                <w:sz w:val="20"/>
                <w:szCs w:val="20"/>
                <w:color w:val="auto"/>
              </w:rPr>
            </w:pPr>
            <w:r>
              <w:rPr>
                <w:rFonts w:ascii="Arial" w:cs="Arial" w:eastAsia="Arial" w:hAnsi="Arial"/>
                <w:sz w:val="12"/>
                <w:szCs w:val="12"/>
                <w:b w:val="1"/>
                <w:bCs w:val="1"/>
                <w:color w:val="auto"/>
                <w:w w:val="95"/>
              </w:rPr>
              <w:t>Strike</w:t>
            </w:r>
          </w:p>
        </w:tc>
        <w:tc>
          <w:tcPr>
            <w:tcW w:w="10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1320" w:type="dxa"/>
            <w:vAlign w:val="bottom"/>
          </w:tcPr>
          <w:p>
            <w:pPr>
              <w:jc w:val="right"/>
              <w:ind w:right="277"/>
              <w:spacing w:after="0"/>
              <w:rPr>
                <w:sz w:val="20"/>
                <w:szCs w:val="20"/>
                <w:color w:val="auto"/>
              </w:rPr>
            </w:pPr>
            <w:r>
              <w:rPr>
                <w:rFonts w:ascii="Arial" w:cs="Arial" w:eastAsia="Arial" w:hAnsi="Arial"/>
                <w:sz w:val="13"/>
                <w:szCs w:val="13"/>
                <w:b w:val="1"/>
                <w:bCs w:val="1"/>
                <w:color w:val="auto"/>
              </w:rPr>
              <w:t>Inception Date</w:t>
            </w:r>
          </w:p>
        </w:tc>
        <w:tc>
          <w:tcPr>
            <w:tcW w:w="1400" w:type="dxa"/>
            <w:vAlign w:val="bottom"/>
          </w:tcPr>
          <w:p>
            <w:pPr>
              <w:jc w:val="right"/>
              <w:ind w:right="217"/>
              <w:spacing w:after="0"/>
              <w:rPr>
                <w:sz w:val="20"/>
                <w:szCs w:val="20"/>
                <w:color w:val="auto"/>
              </w:rPr>
            </w:pPr>
            <w:r>
              <w:rPr>
                <w:rFonts w:ascii="Arial" w:cs="Arial" w:eastAsia="Arial" w:hAnsi="Arial"/>
                <w:sz w:val="13"/>
                <w:szCs w:val="13"/>
                <w:b w:val="1"/>
                <w:bCs w:val="1"/>
                <w:color w:val="auto"/>
              </w:rPr>
              <w:t>Termination Date</w:t>
            </w:r>
          </w:p>
        </w:tc>
        <w:tc>
          <w:tcPr>
            <w:tcW w:w="880" w:type="dxa"/>
            <w:vAlign w:val="bottom"/>
          </w:tcPr>
          <w:p>
            <w:pPr>
              <w:jc w:val="center"/>
              <w:ind w:left="57"/>
              <w:spacing w:after="0"/>
              <w:rPr>
                <w:sz w:val="20"/>
                <w:szCs w:val="20"/>
                <w:color w:val="auto"/>
              </w:rPr>
            </w:pPr>
            <w:r>
              <w:rPr>
                <w:rFonts w:ascii="Arial" w:cs="Arial" w:eastAsia="Arial" w:hAnsi="Arial"/>
                <w:sz w:val="13"/>
                <w:szCs w:val="13"/>
                <w:b w:val="1"/>
                <w:bCs w:val="1"/>
                <w:color w:val="auto"/>
                <w:w w:val="94"/>
              </w:rPr>
              <w:t>Index</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Rate</w:t>
            </w: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w w:val="98"/>
              </w:rPr>
              <w:t>Pay Rate</w:t>
            </w:r>
          </w:p>
        </w:tc>
        <w:tc>
          <w:tcPr>
            <w:tcW w:w="78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5"/>
              </w:rPr>
              <w:t>Rate</w:t>
            </w:r>
          </w:p>
        </w:tc>
        <w:tc>
          <w:tcPr>
            <w:tcW w:w="120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88"/>
              </w:rPr>
              <w:t>Unrealized Loss</w:t>
            </w:r>
          </w:p>
        </w:tc>
        <w:tc>
          <w:tcPr>
            <w:tcW w:w="100" w:type="dxa"/>
            <w:vAlign w:val="bottom"/>
          </w:tcPr>
          <w:p>
            <w:pPr>
              <w:spacing w:after="0"/>
              <w:rPr>
                <w:sz w:val="13"/>
                <w:szCs w:val="13"/>
                <w:color w:val="auto"/>
              </w:rPr>
            </w:pPr>
          </w:p>
        </w:tc>
        <w:tc>
          <w:tcPr>
            <w:tcW w:w="94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w w:val="96"/>
              </w:rPr>
              <w:t>Fair Value</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2"/>
          </w:tcPr>
          <w:p>
            <w:pPr>
              <w:jc w:val="center"/>
              <w:ind w:left="537"/>
              <w:spacing w:after="0" w:line="129" w:lineRule="exact"/>
              <w:rPr>
                <w:sz w:val="20"/>
                <w:szCs w:val="20"/>
                <w:color w:val="auto"/>
              </w:rPr>
            </w:pPr>
            <w:r>
              <w:rPr>
                <w:rFonts w:ascii="Arial" w:cs="Arial" w:eastAsia="Arial" w:hAnsi="Arial"/>
                <w:sz w:val="13"/>
                <w:szCs w:val="13"/>
                <w:b w:val="1"/>
                <w:bCs w:val="1"/>
                <w:color w:val="auto"/>
                <w:w w:val="87"/>
              </w:rPr>
              <w:t>(Dollars in thousands)</w:t>
            </w:r>
          </w:p>
        </w:tc>
        <w:tc>
          <w:tcPr>
            <w:tcW w:w="9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i w:val="1"/>
                <w:iCs w:val="1"/>
                <w:color w:val="auto"/>
              </w:rPr>
              <w:t>Interest rate swaps:</w:t>
            </w:r>
          </w:p>
        </w:tc>
        <w:tc>
          <w:tcPr>
            <w:tcW w:w="13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3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10,000</w:t>
            </w:r>
          </w:p>
        </w:tc>
        <w:tc>
          <w:tcPr>
            <w:tcW w:w="13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February 2010</w:t>
            </w:r>
          </w:p>
        </w:tc>
        <w:tc>
          <w:tcPr>
            <w:tcW w:w="14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February 2015</w:t>
            </w:r>
          </w:p>
        </w:tc>
        <w:tc>
          <w:tcPr>
            <w:tcW w:w="88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5"/>
              </w:rPr>
              <w:t>3 Mo. LIBOR</w:t>
            </w:r>
          </w:p>
        </w:tc>
        <w:tc>
          <w:tcPr>
            <w:tcW w:w="1080" w:type="dxa"/>
            <w:vAlign w:val="bottom"/>
          </w:tcPr>
          <w:p>
            <w:pPr>
              <w:jc w:val="right"/>
              <w:ind w:right="78"/>
              <w:spacing w:after="0" w:line="135" w:lineRule="exact"/>
              <w:rPr>
                <w:sz w:val="20"/>
                <w:szCs w:val="20"/>
                <w:color w:val="auto"/>
              </w:rPr>
            </w:pPr>
            <w:r>
              <w:rPr>
                <w:rFonts w:ascii="Arial" w:cs="Arial" w:eastAsia="Arial" w:hAnsi="Arial"/>
                <w:sz w:val="13"/>
                <w:szCs w:val="13"/>
                <w:color w:val="auto"/>
              </w:rPr>
              <w:t>2.13%</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4.69%</w:t>
            </w:r>
          </w:p>
        </w:tc>
        <w:tc>
          <w:tcPr>
            <w:tcW w:w="7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n/a   $</w:t>
            </w:r>
          </w:p>
        </w:tc>
        <w:tc>
          <w:tcPr>
            <w:tcW w:w="120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(192)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(226)</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4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July 2033</w:t>
            </w:r>
          </w:p>
        </w:tc>
        <w:tc>
          <w:tcPr>
            <w:tcW w:w="88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5"/>
              </w:rPr>
              <w:t>3 Mo. LIBOR</w:t>
            </w:r>
          </w:p>
        </w:tc>
        <w:tc>
          <w:tcPr>
            <w:tcW w:w="108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0.24%</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3.38%</w:t>
            </w:r>
          </w:p>
        </w:tc>
        <w:tc>
          <w:tcPr>
            <w:tcW w:w="7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n/a</w:t>
            </w:r>
          </w:p>
        </w:tc>
        <w:tc>
          <w:tcPr>
            <w:tcW w:w="12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(30)</w:t>
            </w:r>
          </w:p>
        </w:tc>
        <w:tc>
          <w:tcPr>
            <w:tcW w:w="11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color w:val="auto"/>
              </w:rPr>
              <w:t>5,000</w:t>
            </w:r>
          </w:p>
        </w:tc>
        <w:tc>
          <w:tcPr>
            <w:tcW w:w="160" w:type="dxa"/>
            <w:vAlign w:val="bottom"/>
          </w:tcPr>
          <w:p>
            <w:pPr>
              <w:spacing w:after="0"/>
              <w:rPr>
                <w:sz w:val="11"/>
                <w:szCs w:val="11"/>
                <w:color w:val="auto"/>
              </w:rPr>
            </w:pPr>
          </w:p>
        </w:tc>
        <w:tc>
          <w:tcPr>
            <w:tcW w:w="13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4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July 2028</w:t>
            </w:r>
          </w:p>
        </w:tc>
        <w:tc>
          <w:tcPr>
            <w:tcW w:w="88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5"/>
              </w:rPr>
              <w:t>3 Mo. LIBOR</w:t>
            </w:r>
          </w:p>
        </w:tc>
        <w:tc>
          <w:tcPr>
            <w:tcW w:w="1080" w:type="dxa"/>
            <w:vAlign w:val="bottom"/>
          </w:tcPr>
          <w:p>
            <w:pPr>
              <w:jc w:val="right"/>
              <w:ind w:right="78"/>
              <w:spacing w:after="0" w:line="135" w:lineRule="exact"/>
              <w:rPr>
                <w:sz w:val="20"/>
                <w:szCs w:val="20"/>
                <w:color w:val="auto"/>
              </w:rPr>
            </w:pPr>
            <w:r>
              <w:rPr>
                <w:rFonts w:ascii="Arial" w:cs="Arial" w:eastAsia="Arial" w:hAnsi="Arial"/>
                <w:sz w:val="13"/>
                <w:szCs w:val="13"/>
                <w:color w:val="auto"/>
              </w:rPr>
              <w:t>0.24%</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3.23%</w:t>
            </w:r>
          </w:p>
        </w:tc>
        <w:tc>
          <w:tcPr>
            <w:tcW w:w="7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n/a</w:t>
            </w:r>
          </w:p>
        </w:tc>
        <w:tc>
          <w:tcPr>
            <w:tcW w:w="120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1"/>
                <w:szCs w:val="11"/>
                <w:color w:val="auto"/>
              </w:rPr>
            </w:pPr>
          </w:p>
        </w:tc>
        <w:tc>
          <w:tcPr>
            <w:tcW w:w="94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(46)</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July 2013</w:t>
            </w:r>
          </w:p>
        </w:tc>
        <w:tc>
          <w:tcPr>
            <w:tcW w:w="14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July 2023</w:t>
            </w:r>
          </w:p>
        </w:tc>
        <w:tc>
          <w:tcPr>
            <w:tcW w:w="88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5"/>
              </w:rPr>
              <w:t>3 Mo. LIBOR</w:t>
            </w:r>
          </w:p>
        </w:tc>
        <w:tc>
          <w:tcPr>
            <w:tcW w:w="1080" w:type="dxa"/>
            <w:vAlign w:val="bottom"/>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0.24%</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2.77%</w:t>
            </w:r>
          </w:p>
        </w:tc>
        <w:tc>
          <w:tcPr>
            <w:tcW w:w="78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3"/>
                <w:szCs w:val="13"/>
                <w:color w:val="auto"/>
              </w:rPr>
              <w:t>n/a</w:t>
            </w:r>
          </w:p>
        </w:tc>
        <w:tc>
          <w:tcPr>
            <w:tcW w:w="12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(31)</w:t>
            </w:r>
          </w:p>
        </w:tc>
        <w:tc>
          <w:tcPr>
            <w:tcW w:w="11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3"/>
              </w:rPr>
              <w:t>Other Liabilities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right"/>
              <w:ind w:right="160"/>
              <w:spacing w:after="0" w:line="135" w:lineRule="exact"/>
              <w:rPr>
                <w:sz w:val="20"/>
                <w:szCs w:val="20"/>
                <w:color w:val="auto"/>
              </w:rPr>
            </w:pPr>
            <w:r>
              <w:rPr>
                <w:rFonts w:ascii="Arial" w:cs="Arial" w:eastAsia="Arial" w:hAnsi="Arial"/>
                <w:sz w:val="13"/>
                <w:szCs w:val="13"/>
                <w:i w:val="1"/>
                <w:iCs w:val="1"/>
                <w:color w:val="auto"/>
              </w:rPr>
              <w:t>Interest rate caps:</w:t>
            </w:r>
          </w:p>
        </w:tc>
        <w:tc>
          <w:tcPr>
            <w:tcW w:w="1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September 2009</w:t>
            </w:r>
          </w:p>
        </w:tc>
        <w:tc>
          <w:tcPr>
            <w:tcW w:w="14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September 2014</w:t>
            </w:r>
          </w:p>
        </w:tc>
        <w:tc>
          <w:tcPr>
            <w:tcW w:w="880" w:type="dxa"/>
            <w:vAlign w:val="bottom"/>
            <w:shd w:val="clear" w:color="auto" w:fill="CCEEFF"/>
          </w:tcPr>
          <w:p>
            <w:pPr>
              <w:jc w:val="center"/>
              <w:ind w:left="57"/>
              <w:spacing w:after="0" w:line="135" w:lineRule="exact"/>
              <w:rPr>
                <w:sz w:val="20"/>
                <w:szCs w:val="20"/>
                <w:color w:val="auto"/>
              </w:rPr>
            </w:pPr>
            <w:r>
              <w:rPr>
                <w:rFonts w:ascii="Arial" w:cs="Arial" w:eastAsia="Arial" w:hAnsi="Arial"/>
                <w:sz w:val="13"/>
                <w:szCs w:val="13"/>
                <w:color w:val="auto"/>
                <w:w w:val="95"/>
              </w:rPr>
              <w:t>3 Mo. LIBOR</w:t>
            </w:r>
          </w:p>
        </w:tc>
        <w:tc>
          <w:tcPr>
            <w:tcW w:w="1080" w:type="dxa"/>
            <w:vAlign w:val="bottom"/>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n/a</w:t>
            </w:r>
          </w:p>
        </w:tc>
        <w:tc>
          <w:tcPr>
            <w:tcW w:w="9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n/a</w:t>
            </w:r>
          </w:p>
        </w:tc>
        <w:tc>
          <w:tcPr>
            <w:tcW w:w="680" w:type="dxa"/>
            <w:vAlign w:val="bottom"/>
            <w:shd w:val="clear" w:color="auto" w:fill="CCEEFF"/>
          </w:tcPr>
          <w:p>
            <w:pPr>
              <w:ind w:left="300"/>
              <w:spacing w:after="0" w:line="135" w:lineRule="exact"/>
              <w:rPr>
                <w:sz w:val="20"/>
                <w:szCs w:val="20"/>
                <w:color w:val="auto"/>
              </w:rPr>
            </w:pPr>
            <w:r>
              <w:rPr>
                <w:rFonts w:ascii="Arial" w:cs="Arial" w:eastAsia="Arial" w:hAnsi="Arial"/>
                <w:sz w:val="13"/>
                <w:szCs w:val="13"/>
                <w:color w:val="auto"/>
                <w:w w:val="97"/>
              </w:rPr>
              <w:t>2.51%</w:t>
            </w:r>
          </w:p>
        </w:tc>
        <w:tc>
          <w:tcPr>
            <w:tcW w:w="1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78"/>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5"/>
              </w:rPr>
              <w:t>Other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9"/>
                <w:szCs w:val="9"/>
                <w:color w:val="auto"/>
                <w:w w:val="78"/>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31,000</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(319</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(333</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vMerge w:val="restart"/>
          </w:tcPr>
          <w:p>
            <w:pPr>
              <w:jc w:val="center"/>
              <w:ind w:right="218"/>
              <w:spacing w:after="0"/>
              <w:rPr>
                <w:sz w:val="20"/>
                <w:szCs w:val="20"/>
                <w:color w:val="auto"/>
              </w:rPr>
            </w:pPr>
            <w:r>
              <w:rPr>
                <w:rFonts w:ascii="Arial" w:cs="Arial" w:eastAsia="Arial" w:hAnsi="Arial"/>
                <w:sz w:val="13"/>
                <w:szCs w:val="13"/>
                <w:b w:val="1"/>
                <w:bCs w:val="1"/>
                <w:color w:val="auto"/>
                <w:w w:val="85"/>
              </w:rPr>
              <w:t>June 30, 2013</w:t>
            </w: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ind w:left="240"/>
              <w:spacing w:after="0" w:line="110" w:lineRule="exact"/>
              <w:rPr>
                <w:sz w:val="20"/>
                <w:szCs w:val="20"/>
                <w:color w:val="auto"/>
              </w:rPr>
            </w:pPr>
            <w:r>
              <w:rPr>
                <w:rFonts w:ascii="Arial" w:cs="Arial" w:eastAsia="Arial" w:hAnsi="Arial"/>
                <w:sz w:val="12"/>
                <w:szCs w:val="12"/>
                <w:b w:val="1"/>
                <w:bCs w:val="1"/>
                <w:color w:val="auto"/>
              </w:rPr>
              <w:t>Notional</w:t>
            </w:r>
          </w:p>
        </w:tc>
        <w:tc>
          <w:tcPr>
            <w:tcW w:w="1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Receive</w:t>
            </w:r>
          </w:p>
        </w:tc>
        <w:tc>
          <w:tcPr>
            <w:tcW w:w="920" w:type="dxa"/>
            <w:vAlign w:val="bottom"/>
          </w:tcPr>
          <w:p>
            <w:pPr>
              <w:spacing w:after="0"/>
              <w:rPr>
                <w:sz w:val="9"/>
                <w:szCs w:val="9"/>
                <w:color w:val="auto"/>
              </w:rPr>
            </w:pPr>
          </w:p>
        </w:tc>
        <w:tc>
          <w:tcPr>
            <w:tcW w:w="780" w:type="dxa"/>
            <w:vAlign w:val="bottom"/>
            <w:gridSpan w:val="2"/>
          </w:tcPr>
          <w:p>
            <w:pPr>
              <w:jc w:val="center"/>
              <w:ind w:right="237"/>
              <w:spacing w:after="0" w:line="110" w:lineRule="exact"/>
              <w:rPr>
                <w:sz w:val="20"/>
                <w:szCs w:val="20"/>
                <w:color w:val="auto"/>
              </w:rPr>
            </w:pPr>
            <w:r>
              <w:rPr>
                <w:rFonts w:ascii="Arial" w:cs="Arial" w:eastAsia="Arial" w:hAnsi="Arial"/>
                <w:sz w:val="12"/>
                <w:szCs w:val="12"/>
                <w:b w:val="1"/>
                <w:bCs w:val="1"/>
                <w:color w:val="auto"/>
                <w:w w:val="95"/>
              </w:rPr>
              <w:t>Strike</w:t>
            </w: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Balance Sheet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1320" w:type="dxa"/>
            <w:vAlign w:val="bottom"/>
          </w:tcPr>
          <w:p>
            <w:pPr>
              <w:jc w:val="right"/>
              <w:ind w:right="277"/>
              <w:spacing w:after="0"/>
              <w:rPr>
                <w:sz w:val="20"/>
                <w:szCs w:val="20"/>
                <w:color w:val="auto"/>
              </w:rPr>
            </w:pPr>
            <w:r>
              <w:rPr>
                <w:rFonts w:ascii="Arial" w:cs="Arial" w:eastAsia="Arial" w:hAnsi="Arial"/>
                <w:sz w:val="13"/>
                <w:szCs w:val="13"/>
                <w:b w:val="1"/>
                <w:bCs w:val="1"/>
                <w:color w:val="auto"/>
              </w:rPr>
              <w:t>Inception Date</w:t>
            </w:r>
          </w:p>
        </w:tc>
        <w:tc>
          <w:tcPr>
            <w:tcW w:w="1400" w:type="dxa"/>
            <w:vAlign w:val="bottom"/>
          </w:tcPr>
          <w:p>
            <w:pPr>
              <w:jc w:val="right"/>
              <w:ind w:right="217"/>
              <w:spacing w:after="0"/>
              <w:rPr>
                <w:sz w:val="20"/>
                <w:szCs w:val="20"/>
                <w:color w:val="auto"/>
              </w:rPr>
            </w:pPr>
            <w:r>
              <w:rPr>
                <w:rFonts w:ascii="Arial" w:cs="Arial" w:eastAsia="Arial" w:hAnsi="Arial"/>
                <w:sz w:val="13"/>
                <w:szCs w:val="13"/>
                <w:b w:val="1"/>
                <w:bCs w:val="1"/>
                <w:color w:val="auto"/>
              </w:rPr>
              <w:t>Termination Date</w:t>
            </w:r>
          </w:p>
        </w:tc>
        <w:tc>
          <w:tcPr>
            <w:tcW w:w="880" w:type="dxa"/>
            <w:vAlign w:val="bottom"/>
          </w:tcPr>
          <w:p>
            <w:pPr>
              <w:jc w:val="center"/>
              <w:ind w:left="57"/>
              <w:spacing w:after="0"/>
              <w:rPr>
                <w:sz w:val="20"/>
                <w:szCs w:val="20"/>
                <w:color w:val="auto"/>
              </w:rPr>
            </w:pPr>
            <w:r>
              <w:rPr>
                <w:rFonts w:ascii="Arial" w:cs="Arial" w:eastAsia="Arial" w:hAnsi="Arial"/>
                <w:sz w:val="13"/>
                <w:szCs w:val="13"/>
                <w:b w:val="1"/>
                <w:bCs w:val="1"/>
                <w:color w:val="auto"/>
                <w:w w:val="94"/>
              </w:rPr>
              <w:t>Index</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Rate</w:t>
            </w: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w w:val="98"/>
              </w:rPr>
              <w:t>Pay Rate</w:t>
            </w:r>
          </w:p>
        </w:tc>
        <w:tc>
          <w:tcPr>
            <w:tcW w:w="78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5"/>
              </w:rPr>
              <w:t>Rate</w:t>
            </w:r>
          </w:p>
        </w:tc>
        <w:tc>
          <w:tcPr>
            <w:tcW w:w="1200" w:type="dxa"/>
            <w:vAlign w:val="bottom"/>
            <w:gridSpan w:val="2"/>
          </w:tcPr>
          <w:p>
            <w:pPr>
              <w:jc w:val="right"/>
              <w:ind w:right="258"/>
              <w:spacing w:after="0"/>
              <w:rPr>
                <w:sz w:val="20"/>
                <w:szCs w:val="20"/>
                <w:color w:val="auto"/>
              </w:rPr>
            </w:pPr>
            <w:r>
              <w:rPr>
                <w:rFonts w:ascii="Arial" w:cs="Arial" w:eastAsia="Arial" w:hAnsi="Arial"/>
                <w:sz w:val="13"/>
                <w:szCs w:val="13"/>
                <w:b w:val="1"/>
                <w:bCs w:val="1"/>
                <w:color w:val="auto"/>
                <w:w w:val="88"/>
              </w:rPr>
              <w:t>Unrealized Loss</w:t>
            </w:r>
          </w:p>
        </w:tc>
        <w:tc>
          <w:tcPr>
            <w:tcW w:w="100" w:type="dxa"/>
            <w:vAlign w:val="bottom"/>
          </w:tcPr>
          <w:p>
            <w:pPr>
              <w:spacing w:after="0"/>
              <w:rPr>
                <w:sz w:val="13"/>
                <w:szCs w:val="13"/>
                <w:color w:val="auto"/>
              </w:rPr>
            </w:pPr>
          </w:p>
        </w:tc>
        <w:tc>
          <w:tcPr>
            <w:tcW w:w="94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w w:val="96"/>
              </w:rPr>
              <w:t>Fair Value</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Location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2"/>
          </w:tcPr>
          <w:p>
            <w:pPr>
              <w:jc w:val="center"/>
              <w:ind w:left="537"/>
              <w:spacing w:after="0" w:line="124" w:lineRule="exact"/>
              <w:rPr>
                <w:sz w:val="20"/>
                <w:szCs w:val="20"/>
                <w:color w:val="auto"/>
              </w:rPr>
            </w:pPr>
            <w:r>
              <w:rPr>
                <w:rFonts w:ascii="Arial" w:cs="Arial" w:eastAsia="Arial" w:hAnsi="Arial"/>
                <w:sz w:val="13"/>
                <w:szCs w:val="13"/>
                <w:b w:val="1"/>
                <w:bCs w:val="1"/>
                <w:color w:val="auto"/>
                <w:w w:val="87"/>
              </w:rPr>
              <w:t>(Dollars in thousands)</w:t>
            </w:r>
          </w:p>
        </w:tc>
        <w:tc>
          <w:tcPr>
            <w:tcW w:w="9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8" w:orient="portrait"/>
          <w:cols w:equalWidth="0" w:num="1">
            <w:col w:w="11420"/>
          </w:cols>
          <w:pgMar w:left="240" w:top="140" w:right="239" w:bottom="0" w:gutter="0" w:footer="0" w:header="0"/>
        </w:sectPr>
      </w:pPr>
    </w:p>
    <w:p>
      <w:pPr>
        <w:ind w:left="500"/>
        <w:spacing w:after="0"/>
        <w:rPr>
          <w:sz w:val="20"/>
          <w:szCs w:val="20"/>
          <w:color w:val="auto"/>
        </w:rPr>
      </w:pPr>
      <w:r>
        <w:rPr>
          <w:rFonts w:ascii="Arial" w:cs="Arial" w:eastAsia="Arial" w:hAnsi="Arial"/>
          <w:sz w:val="11"/>
          <w:szCs w:val="11"/>
          <w:i w:val="1"/>
          <w:i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78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98" w:orient="portrait"/>
          <w:cols w:equalWidth="0" w:num="1">
            <w:col w:w="11420"/>
          </w:cols>
          <w:pgMar w:left="240" w:top="140" w:right="239" w:bottom="0" w:gutter="0" w:footer="0" w:header="0"/>
          <w:type w:val="continuous"/>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10,000</w:t>
            </w:r>
          </w:p>
        </w:tc>
        <w:tc>
          <w:tcPr>
            <w:tcW w:w="1380" w:type="dxa"/>
            <w:vAlign w:val="bottom"/>
          </w:tcPr>
          <w:p>
            <w:pPr>
              <w:jc w:val="right"/>
              <w:ind w:right="237"/>
              <w:spacing w:after="0"/>
              <w:rPr>
                <w:sz w:val="20"/>
                <w:szCs w:val="20"/>
                <w:color w:val="auto"/>
              </w:rPr>
            </w:pPr>
            <w:r>
              <w:rPr>
                <w:rFonts w:ascii="Arial" w:cs="Arial" w:eastAsia="Arial" w:hAnsi="Arial"/>
                <w:sz w:val="13"/>
                <w:szCs w:val="13"/>
                <w:color w:val="auto"/>
              </w:rPr>
              <w:t>February 2010</w:t>
            </w: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February 2015</w:t>
            </w:r>
          </w:p>
        </w:tc>
        <w:tc>
          <w:tcPr>
            <w:tcW w:w="1180" w:type="dxa"/>
            <w:vAlign w:val="bottom"/>
          </w:tcPr>
          <w:p>
            <w:pPr>
              <w:ind w:left="140"/>
              <w:spacing w:after="0"/>
              <w:rPr>
                <w:sz w:val="20"/>
                <w:szCs w:val="20"/>
                <w:color w:val="auto"/>
              </w:rPr>
            </w:pPr>
            <w:r>
              <w:rPr>
                <w:rFonts w:ascii="Arial" w:cs="Arial" w:eastAsia="Arial" w:hAnsi="Arial"/>
                <w:sz w:val="13"/>
                <w:szCs w:val="13"/>
                <w:color w:val="auto"/>
              </w:rPr>
              <w:t>3 Mo. LIBOR</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2.16%</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4.69%</w:t>
            </w:r>
          </w:p>
        </w:tc>
        <w:tc>
          <w:tcPr>
            <w:tcW w:w="1060" w:type="dxa"/>
            <w:vAlign w:val="bottom"/>
            <w:gridSpan w:val="2"/>
          </w:tcPr>
          <w:p>
            <w:pPr>
              <w:jc w:val="right"/>
              <w:ind w:right="337"/>
              <w:spacing w:after="0"/>
              <w:rPr>
                <w:sz w:val="20"/>
                <w:szCs w:val="20"/>
                <w:color w:val="auto"/>
              </w:rPr>
            </w:pPr>
            <w:r>
              <w:rPr>
                <w:rFonts w:ascii="Arial" w:cs="Arial" w:eastAsia="Arial" w:hAnsi="Arial"/>
                <w:sz w:val="13"/>
                <w:szCs w:val="13"/>
                <w:color w:val="auto"/>
              </w:rPr>
              <w:t>n/a   $</w:t>
            </w: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(223)</w:t>
            </w: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78"/>
              <w:spacing w:after="0"/>
              <w:rPr>
                <w:sz w:val="20"/>
                <w:szCs w:val="20"/>
                <w:color w:val="auto"/>
              </w:rPr>
            </w:pPr>
            <w:r>
              <w:rPr>
                <w:rFonts w:ascii="Arial" w:cs="Arial" w:eastAsia="Arial" w:hAnsi="Arial"/>
                <w:sz w:val="13"/>
                <w:szCs w:val="13"/>
                <w:color w:val="auto"/>
              </w:rPr>
              <w:t>(389)</w:t>
            </w:r>
          </w:p>
        </w:tc>
        <w:tc>
          <w:tcPr>
            <w:tcW w:w="1140" w:type="dxa"/>
            <w:vAlign w:val="bottom"/>
          </w:tcPr>
          <w:p>
            <w:pPr>
              <w:jc w:val="center"/>
              <w:ind w:right="37"/>
              <w:spacing w:after="0"/>
              <w:rPr>
                <w:sz w:val="20"/>
                <w:szCs w:val="20"/>
                <w:color w:val="auto"/>
              </w:rPr>
            </w:pPr>
            <w:r>
              <w:rPr>
                <w:rFonts w:ascii="Arial" w:cs="Arial" w:eastAsia="Arial" w:hAnsi="Arial"/>
                <w:sz w:val="13"/>
                <w:szCs w:val="13"/>
                <w:color w:val="auto"/>
                <w:w w:val="93"/>
              </w:rPr>
              <w:t>Other Liabilities</w:t>
            </w:r>
          </w:p>
        </w:tc>
      </w:tr>
      <w:tr>
        <w:trPr>
          <w:trHeight w:val="135"/>
        </w:trPr>
        <w:tc>
          <w:tcPr>
            <w:tcW w:w="32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i w:val="1"/>
                <w:iCs w:val="1"/>
                <w:color w:val="auto"/>
              </w:rPr>
              <w:t>Interest rate caps:</w:t>
            </w:r>
          </w:p>
        </w:tc>
        <w:tc>
          <w:tcPr>
            <w:tcW w:w="1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35"/>
        </w:trPr>
        <w:tc>
          <w:tcPr>
            <w:tcW w:w="3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6,000</w:t>
            </w:r>
          </w:p>
        </w:tc>
        <w:tc>
          <w:tcPr>
            <w:tcW w:w="240" w:type="dxa"/>
            <w:vAlign w:val="bottom"/>
          </w:tcPr>
          <w:p>
            <w:pPr>
              <w:spacing w:after="0"/>
              <w:rPr>
                <w:sz w:val="11"/>
                <w:szCs w:val="11"/>
                <w:color w:val="auto"/>
              </w:rPr>
            </w:pPr>
          </w:p>
        </w:tc>
        <w:tc>
          <w:tcPr>
            <w:tcW w:w="13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September 2009</w:t>
            </w:r>
          </w:p>
        </w:tc>
        <w:tc>
          <w:tcPr>
            <w:tcW w:w="12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September 2014</w:t>
            </w:r>
          </w:p>
        </w:tc>
        <w:tc>
          <w:tcPr>
            <w:tcW w:w="1180" w:type="dxa"/>
            <w:vAlign w:val="bottom"/>
          </w:tcPr>
          <w:p>
            <w:pPr>
              <w:ind w:left="140"/>
              <w:spacing w:after="0" w:line="135" w:lineRule="exact"/>
              <w:rPr>
                <w:sz w:val="20"/>
                <w:szCs w:val="20"/>
                <w:color w:val="auto"/>
              </w:rPr>
            </w:pPr>
            <w:r>
              <w:rPr>
                <w:rFonts w:ascii="Arial" w:cs="Arial" w:eastAsia="Arial" w:hAnsi="Arial"/>
                <w:sz w:val="13"/>
                <w:szCs w:val="13"/>
                <w:color w:val="auto"/>
              </w:rPr>
              <w:t>3 Mo. LIBOR</w:t>
            </w:r>
          </w:p>
        </w:tc>
        <w:tc>
          <w:tcPr>
            <w:tcW w:w="9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n/a</w:t>
            </w:r>
          </w:p>
        </w:tc>
        <w:tc>
          <w:tcPr>
            <w:tcW w:w="8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n/a</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2.51%</w:t>
            </w:r>
          </w:p>
        </w:tc>
        <w:tc>
          <w:tcPr>
            <w:tcW w:w="480" w:type="dxa"/>
            <w:vAlign w:val="bottom"/>
          </w:tcPr>
          <w:p>
            <w:pPr>
              <w:spacing w:after="0"/>
              <w:rPr>
                <w:sz w:val="11"/>
                <w:szCs w:val="11"/>
                <w:color w:val="auto"/>
              </w:rPr>
            </w:pPr>
          </w:p>
        </w:tc>
        <w:tc>
          <w:tcPr>
            <w:tcW w:w="8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(40)</w:t>
            </w:r>
          </w:p>
        </w:tc>
        <w:tc>
          <w:tcPr>
            <w:tcW w:w="360" w:type="dxa"/>
            <w:vAlign w:val="bottom"/>
          </w:tcPr>
          <w:p>
            <w:pPr>
              <w:spacing w:after="0"/>
              <w:rPr>
                <w:sz w:val="11"/>
                <w:szCs w:val="11"/>
                <w:color w:val="auto"/>
              </w:rPr>
            </w:pPr>
          </w:p>
        </w:tc>
        <w:tc>
          <w:tcPr>
            <w:tcW w:w="68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5"/>
              </w:rPr>
              <w:t>Other Assets</w:t>
            </w:r>
          </w:p>
        </w:tc>
      </w:tr>
      <w:tr>
        <w:trPr>
          <w:trHeight w:val="142"/>
        </w:trPr>
        <w:tc>
          <w:tcPr>
            <w:tcW w:w="320" w:type="dxa"/>
            <w:vAlign w:val="bottom"/>
            <w:tcBorders>
              <w:top w:val="single" w:sz="8" w:color="auto"/>
              <w:bottom w:val="single" w:sz="8" w:color="auto"/>
            </w:tcBorders>
            <w:shd w:val="clear" w:color="auto" w:fill="CCEEFF"/>
          </w:tcPr>
          <w:p>
            <w:pPr>
              <w:jc w:val="right"/>
              <w:ind w:right="177"/>
              <w:spacing w:after="0" w:line="143"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16,000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37"/>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(263</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(389</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8"/>
                <w:szCs w:val="8"/>
                <w:color w:val="auto"/>
                <w:w w:val="73"/>
              </w:rPr>
              <w:t>)</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nine months ended March 31, 2014 and 2013,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nine months ended March 31, 2014 and 2013 related to the balance sheet hedging of variable rate debt indicates that the hedges were effective.</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periods presented, amounts recognized in income related to hedge ineffectiveness resulted from amortization of the non-zero fair value associated with the Company’s single interest rate swap held at the time of the merger with FHB Formation LLC in December 2010. During the periods presented, amounts recognized in income related to amounts excluded from effectiveness testing resulted from amortization of the acquisition price of interest rate caps. The table below presents amounts recognized in income related to both hedge ineffectiveness and amounts excluded from effectiveness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2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3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6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rate caps</w:t>
            </w:r>
          </w:p>
        </w:tc>
        <w:tc>
          <w:tcPr>
            <w:tcW w:w="236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center"/>
              <w:ind w:left="554"/>
              <w:spacing w:after="0"/>
              <w:rPr>
                <w:sz w:val="20"/>
                <w:szCs w:val="20"/>
                <w:color w:val="auto"/>
              </w:rPr>
            </w:pPr>
            <w:r>
              <w:rPr>
                <w:rFonts w:ascii="Arial" w:cs="Arial" w:eastAsia="Arial" w:hAnsi="Arial"/>
                <w:sz w:val="18"/>
                <w:szCs w:val="18"/>
                <w:color w:val="auto"/>
                <w:w w:val="93"/>
              </w:rPr>
              <w:t>(22)</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89"/>
              </w:rPr>
              <w:t>76</w:t>
            </w:r>
          </w:p>
        </w:tc>
        <w:tc>
          <w:tcPr>
            <w:tcW w:w="140" w:type="dxa"/>
            <w:vAlign w:val="bottom"/>
            <w:shd w:val="clear" w:color="auto" w:fill="CCEEFF"/>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center"/>
              <w:ind w:left="694"/>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expects to record interest income of $90 thousand related to interest rate swap ineffectiveness in the next twelve months. The Company expects to record interest expense of $18 thousand related to its purchased interest rate caps in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(loss)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4"/>
              </w:rPr>
              <w:t>Three Months Ended March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80" w:type="dxa"/>
            <w:vAlign w:val="bottom"/>
          </w:tcPr>
          <w:p>
            <w:pPr>
              <w:spacing w:after="0"/>
              <w:rPr>
                <w:sz w:val="14"/>
                <w:szCs w:val="14"/>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8"/>
          </w:tcPr>
          <w:p>
            <w:pPr>
              <w:jc w:val="center"/>
              <w:ind w:right="6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62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(350)</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(397)</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8"/>
                <w:szCs w:val="18"/>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4"/>
              </w:rPr>
              <w:t>Nine Months Ended March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After-tax</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Pre-tax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80" w:type="dxa"/>
            <w:vAlign w:val="bottom"/>
          </w:tcPr>
          <w:p>
            <w:pPr>
              <w:spacing w:after="0"/>
              <w:rPr>
                <w:sz w:val="10"/>
                <w:szCs w:val="10"/>
                <w:color w:val="auto"/>
              </w:rPr>
            </w:pPr>
          </w:p>
        </w:tc>
        <w:tc>
          <w:tcPr>
            <w:tcW w:w="94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(Benefit)</w:t>
            </w:r>
          </w:p>
        </w:tc>
        <w:tc>
          <w:tcPr>
            <w:tcW w:w="80" w:type="dxa"/>
            <w:vAlign w:val="bottom"/>
          </w:tcPr>
          <w:p>
            <w:pPr>
              <w:spacing w:after="0"/>
              <w:rPr>
                <w:sz w:val="14"/>
                <w:szCs w:val="14"/>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(Benefit)</w:t>
            </w:r>
          </w:p>
        </w:tc>
        <w:tc>
          <w:tcPr>
            <w:tcW w:w="1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3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8"/>
          </w:tcPr>
          <w:p>
            <w:pPr>
              <w:jc w:val="center"/>
              <w:ind w:right="6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62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(522)</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Change in accumulated loss on effective</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02"/>
        </w:trPr>
        <w:tc>
          <w:tcPr>
            <w:tcW w:w="3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included in net income</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8"/>
                <w:szCs w:val="18"/>
                <w:color w:val="auto"/>
              </w:rPr>
            </w:pPr>
          </w:p>
        </w:tc>
      </w:tr>
      <w:tr>
        <w:trPr>
          <w:trHeight w:val="22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000" w:type="dxa"/>
            <w:vAlign w:val="bottom"/>
            <w:gridSpan w:val="9"/>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March 31, 2014</w:t>
            </w:r>
          </w:p>
        </w:tc>
        <w:tc>
          <w:tcPr>
            <w:tcW w:w="18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June 30, 2013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Unrealized loss on available-for-sale securities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(2,187)</w:t>
            </w: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08"/>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4"/>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6" w:lineRule="exact"/>
        <w:rPr>
          <w:sz w:val="20"/>
          <w:szCs w:val="20"/>
          <w:color w:val="auto"/>
        </w:rPr>
      </w:pPr>
    </w:p>
    <w:p>
      <w:pPr>
        <w:spacing w:after="0"/>
        <w:tabs>
          <w:tab w:leader="none" w:pos="5220" w:val="left"/>
          <w:tab w:leader="none" w:pos="6120" w:val="left"/>
          <w:tab w:leader="none" w:pos="6880" w:val="left"/>
          <w:tab w:leader="none" w:pos="7780" w:val="left"/>
        </w:tabs>
        <w:rPr>
          <w:sz w:val="20"/>
          <w:szCs w:val="20"/>
          <w:color w:val="auto"/>
        </w:rPr>
      </w:pPr>
      <w:r>
        <w:rPr>
          <w:rFonts w:ascii="Arial" w:cs="Arial" w:eastAsia="Arial" w:hAnsi="Arial"/>
          <w:sz w:val="18"/>
          <w:szCs w:val="18"/>
          <w:color w:val="auto"/>
        </w:rPr>
        <w:t>Accumulated other comprehensive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(1,652)</w:t>
        <w:tab/>
        <w:t>$</w:t>
      </w:r>
      <w:r>
        <w:rPr>
          <w:sz w:val="20"/>
          <w:szCs w:val="20"/>
          <w:color w:val="auto"/>
        </w:rPr>
        <w:tab/>
      </w:r>
      <w:r>
        <w:rPr>
          <w:rFonts w:ascii="Arial" w:cs="Arial" w:eastAsia="Arial" w:hAnsi="Arial"/>
          <w:sz w:val="16"/>
          <w:szCs w:val="16"/>
          <w:color w:val="auto"/>
        </w:rPr>
        <w:t>(1,914)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30860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08600" cy="18034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that represent credit risk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 2014</w:t>
            </w:r>
          </w:p>
        </w:tc>
        <w:tc>
          <w:tcPr>
            <w:tcW w:w="3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June 30, 2013</w:t>
            </w:r>
          </w:p>
        </w:tc>
      </w:tr>
      <w:tr>
        <w:trPr>
          <w:trHeight w:val="142"/>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3"/>
          </w:tcPr>
          <w:p>
            <w:pPr>
              <w:jc w:val="right"/>
              <w:ind w:right="7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23,810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Unused lines of credit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36,340</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30,809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concluded all investment brokerage activities in the second quarter of fiscal 2014. Accordingly, operations associated with these activities have been classified as discontinued operations in the accompanying consolidated statements of income. The following summarizes the operations of the Company’s investment brokerage division for the three and nine months ended March 31, 2014 and 2013.</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8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4"/>
                <w:szCs w:val="14"/>
                <w:color w:val="auto"/>
              </w:rPr>
            </w:pPr>
          </w:p>
        </w:tc>
        <w:tc>
          <w:tcPr>
            <w:tcW w:w="24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36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3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Noninterest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Occupancy and equipment expense</w:t>
            </w:r>
          </w:p>
        </w:tc>
        <w:tc>
          <w:tcPr>
            <w:tcW w:w="8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 fees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Marketing expense</w:t>
            </w:r>
          </w:p>
        </w:tc>
        <w:tc>
          <w:tcPr>
            <w:tcW w:w="8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expense</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3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Income (loss) before tax</w:t>
            </w:r>
          </w:p>
        </w:tc>
        <w:tc>
          <w:tcPr>
            <w:tcW w:w="8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rFonts w:ascii="Arial" w:cs="Arial" w:eastAsia="Arial" w:hAnsi="Arial"/>
          <w:sz w:val="18"/>
          <w:szCs w:val="18"/>
          <w:b w:val="1"/>
          <w:bCs w:val="1"/>
          <w:color w:val="auto"/>
        </w:rPr>
      </w:pPr>
    </w:p>
    <w:p>
      <w:pPr>
        <w:ind w:left="34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April 23, 2014, the Company announced that its Board of Directors authorized the Company to purchase up to 870,000 shares of its common stock, representing 8.3% of the Company’s outstanding common shares and approximately $8.4 million based on the Company’s closing stock price on April 22, 2014. Such purchases will be made in open market or in privately negotiated transactions from time to time and in such amounts as market</w:t>
      </w:r>
    </w:p>
    <w:p>
      <w:pPr>
        <w:sectPr>
          <w:pgSz w:w="11900" w:h="16844" w:orient="portrait"/>
          <w:cols w:equalWidth="0" w:num="1">
            <w:col w:w="11400"/>
          </w:cols>
          <w:pgMar w:left="240" w:top="125" w:right="259" w:bottom="0" w:gutter="0" w:footer="0" w:header="0"/>
        </w:sectPr>
      </w:pPr>
    </w:p>
    <w:bookmarkStart w:id="20" w:name="page21"/>
    <w:bookmarkEnd w:id="20"/>
    <w:p>
      <w:pPr>
        <w:spacing w:after="0" w:line="5" w:lineRule="exact"/>
        <w:rPr>
          <w:sz w:val="20"/>
          <w:szCs w:val="20"/>
          <w:color w:val="auto"/>
        </w:rPr>
      </w:pPr>
    </w:p>
    <w:p>
      <w:pPr>
        <w:ind w:left="340" w:right="380"/>
        <w:spacing w:after="0" w:line="264" w:lineRule="auto"/>
        <w:rPr>
          <w:sz w:val="20"/>
          <w:szCs w:val="20"/>
          <w:color w:val="auto"/>
        </w:rPr>
      </w:pPr>
      <w:r>
        <w:rPr>
          <w:rFonts w:ascii="Arial" w:cs="Arial" w:eastAsia="Arial" w:hAnsi="Arial"/>
          <w:sz w:val="18"/>
          <w:szCs w:val="18"/>
          <w:color w:val="auto"/>
        </w:rPr>
        <w:t>conditions warrant. The timing and actual number of shares repurchased will depend on a variety of factors including price, corporate and regulatory requirements, market conditions, and other corporate liquidity requirements and priorities. The stock repurchase program may be suspended or terminated at any time without prior notice, and will expire on April 23, 2016.</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2013,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continuing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2013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which has ten banking branches. The Bank, which was originally organized in 1872 as a Maine-chartered mutual savings bank, is a Maine-chartered bank and a member of the Federal Reserve. As such, the Company and the Bank are currently subject to the regulatory oversight of the Federal Reserve and the State of Maine Bureau of Financial Institutions (the “Bureau”).</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of the commitment to hold commercial real estate loans to within 300% of total risk-based capital to exclude owner-occupied commercial real estate loans. All other commitments made to the Federal Reserve in connection with the merger remain unchanged. The Company and the Bank are currently in compliance with all commitments to the Federal Reserve. The Company’s compliance ratios at March 31, 2014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tcPr>
          <w:p>
            <w:pPr>
              <w:jc w:val="right"/>
              <w:ind w:right="155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r>
        <w:trPr>
          <w:trHeight w:val="523"/>
        </w:trPr>
        <w:tc>
          <w:tcPr>
            <w:tcW w:w="51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85"/>
        </w:trPr>
        <w:tc>
          <w:tcPr>
            <w:tcW w:w="12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Condition</w:t>
            </w:r>
          </w:p>
        </w:tc>
        <w:tc>
          <w:tcPr>
            <w:tcW w:w="360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Ratios at March 31, 2014</w:t>
            </w:r>
          </w:p>
        </w:tc>
        <w:tc>
          <w:tcPr>
            <w:tcW w:w="180" w:type="dxa"/>
            <w:vAlign w:val="bottom"/>
            <w:tcBorders>
              <w:bottom w:val="single" w:sz="8" w:color="CCEEFF"/>
            </w:tcBorders>
          </w:tcPr>
          <w:p>
            <w:pPr>
              <w:spacing w:after="0"/>
              <w:rPr>
                <w:sz w:val="24"/>
                <w:szCs w:val="24"/>
                <w:color w:val="auto"/>
              </w:rPr>
            </w:pPr>
          </w:p>
        </w:tc>
        <w:tc>
          <w:tcPr>
            <w:tcW w:w="3840" w:type="dxa"/>
            <w:vAlign w:val="bottom"/>
          </w:tcPr>
          <w:p>
            <w:pPr>
              <w:spacing w:after="0"/>
              <w:rPr>
                <w:sz w:val="24"/>
                <w:szCs w:val="24"/>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Tier 1 leverage ratio</w:t>
            </w:r>
          </w:p>
        </w:tc>
        <w:tc>
          <w:tcPr>
            <w:tcW w:w="3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3840" w:type="dxa"/>
            <w:vAlign w:val="bottom"/>
          </w:tcPr>
          <w:p>
            <w:pPr>
              <w:spacing w:after="0"/>
              <w:rPr>
                <w:sz w:val="18"/>
                <w:szCs w:val="18"/>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(ii) Total risk-based capital ratio</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24.21%</w:t>
            </w:r>
          </w:p>
        </w:tc>
        <w:tc>
          <w:tcPr>
            <w:tcW w:w="3840" w:type="dxa"/>
            <w:vAlign w:val="bottom"/>
          </w:tcPr>
          <w:p>
            <w:pPr>
              <w:spacing w:after="0"/>
              <w:rPr>
                <w:sz w:val="18"/>
                <w:szCs w:val="18"/>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(iii) Ratio of purchased loans to total loans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35.29%</w:t>
            </w:r>
          </w:p>
        </w:tc>
        <w:tc>
          <w:tcPr>
            <w:tcW w:w="3840" w:type="dxa"/>
            <w:vAlign w:val="bottom"/>
          </w:tcPr>
          <w:p>
            <w:pPr>
              <w:spacing w:after="0"/>
              <w:rPr>
                <w:sz w:val="18"/>
                <w:szCs w:val="18"/>
                <w:color w:val="auto"/>
              </w:rPr>
            </w:pPr>
          </w:p>
        </w:tc>
      </w:tr>
      <w:tr>
        <w:trPr>
          <w:trHeight w:val="216"/>
        </w:trPr>
        <w:tc>
          <w:tcPr>
            <w:tcW w:w="5180" w:type="dxa"/>
            <w:vAlign w:val="bottom"/>
            <w:gridSpan w:val="3"/>
          </w:tcPr>
          <w:p>
            <w:pPr>
              <w:spacing w:after="0"/>
              <w:rPr>
                <w:sz w:val="20"/>
                <w:szCs w:val="20"/>
                <w:color w:val="auto"/>
              </w:rPr>
            </w:pPr>
            <w:r>
              <w:rPr>
                <w:rFonts w:ascii="Arial" w:cs="Arial" w:eastAsia="Arial" w:hAnsi="Arial"/>
                <w:sz w:val="18"/>
                <w:szCs w:val="18"/>
                <w:color w:val="auto"/>
              </w:rPr>
              <w:t>(iv) Ratio of loans to core deposits</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93.18%</w:t>
            </w:r>
          </w:p>
        </w:tc>
        <w:tc>
          <w:tcPr>
            <w:tcW w:w="3840" w:type="dxa"/>
            <w:vAlign w:val="bottom"/>
          </w:tcPr>
          <w:p>
            <w:pPr>
              <w:spacing w:after="0"/>
              <w:rPr>
                <w:sz w:val="18"/>
                <w:szCs w:val="18"/>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(v) Ratio of commercial real estate loans to total risk-based capital</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175.10%</w:t>
            </w:r>
          </w:p>
        </w:tc>
        <w:tc>
          <w:tcPr>
            <w:tcW w:w="3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-1313815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-1313815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5" w:right="199" w:bottom="0" w:gutter="0" w:footer="0" w:header="0"/>
        </w:sectPr>
      </w:pPr>
    </w:p>
    <w:bookmarkStart w:id="21" w:name="page22"/>
    <w:bookmarkEnd w:id="21"/>
    <w:p>
      <w:pPr>
        <w:spacing w:after="0" w:line="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March 31, 2014, the Company, on a consolidated basis, had total assets of $750.9 million, total deposits of $563.3 million, and stockholders’ equity of $114.0 million. The Company gathers retail deposits through its banking offices in Maine and its online affinity deposit program, ableBanking; originates loans through the Bank’s Community Banking Division; and purchases and originates commercial loans through the Bank’s Loan Acquisition and Servicing Group (“LASG”). The Community Banking Division, with ten full-service branches and six loan production offices, operates from the Bank’s headquarters in Lewiston, Maine. The Company operates ableBanking and the LASG from its offices in Boston, Massachusetts.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Measured growth of the commercial loan portfolio</w:t>
      </w:r>
      <w:r>
        <w:rPr>
          <w:rFonts w:ascii="Arial" w:cs="Arial" w:eastAsia="Arial" w:hAnsi="Arial"/>
          <w:sz w:val="17"/>
          <w:szCs w:val="17"/>
          <w:color w:val="auto"/>
        </w:rPr>
        <w:t>. The LASG purchases performing commercial real estate loans, on a nationwide basis, typically at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from their outstanding principal balances, producing yields higher than those normally achieved on our originated loan portfolio. Loans are purchased on a nationwide basis from a variety of sources, including banks, insurance companies, investment funds and government agencies, either directly or indirectly through a broker. This group also originates, on a nationwide basis, commercial real estate and commercial business loans.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Company offers a full line of deposit products to customers in the Community Banking Division’s market area through its ten-branch network. In June 2012, we launched our online affinity deposit program, ableBanking, a division of Northeast Bank, as an additional channel through which to raise core deposits to fund the Company’s asset strategy. We also raise deposits through deposit listing services, which offer the ability to attract longer term funding than can typically be obtained through retail channels.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allows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2013 to gain a better understanding of how Northeast’s financial performance is measured and reported. There has been no material change in critical accounting policies during the nine months ended March 31,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from continuing operations was $437 thousand for the quarter ended March 31, 2014, compared to $1.6 million for the quarter ended March 31, 2013. Net income from continuing operations for the nine months ended March 31, 2014 was $2.2 million, compared to $4.0 million for the nine months ended March 31, 2013.</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available to common stockholders was $437 thousand, or $0.04 per diluted common share, for the quarter ended March 31, 2014, compared to $1.7 million, or $0.16 per diluted common share, for the quarter ended March 31, 2013. For the nine months ended March 31, 2014, net income available to common stockholders was $2.2 million, or $0.21 per diluted common share, compared to $3.9 million, or $0.37 per diluted common share, for the nine months ended March 31, 2013.</w:t>
      </w:r>
    </w:p>
    <w:p>
      <w:pPr>
        <w:spacing w:after="0" w:line="18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Net interest income before provision decreased by $1.1 million, or 13.8%, to $7.1 million for the quarter ended March 31, 2014 compared to the quarter ended March 31, 2013, primarily due to lower transactional interest income from purchased loan payoffs. This result is evident in the net interest margin, which decreased by 99 basis points to 4.08% for the quarter ended March 31, 2014, compared to 5.07% for the quarter ended March 31, 2013.</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Noninterest income decreased by $1.3 million for the quarter ended March 31, 2014, compared to the quarter ended March 31, 2013, principally due to the following:</w:t>
      </w:r>
    </w:p>
    <w:p>
      <w:pPr>
        <w:spacing w:after="0" w:line="170" w:lineRule="exact"/>
        <w:rPr>
          <w:sz w:val="20"/>
          <w:szCs w:val="20"/>
          <w:color w:val="auto"/>
        </w:rPr>
      </w:pPr>
    </w:p>
    <w:p>
      <w:pPr>
        <w:ind w:left="1300" w:right="680" w:hanging="320"/>
        <w:spacing w:after="0" w:line="258"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$855 thousand in gain on sales of portfolio loans, due to a lower volume of purchased loan sales in the quarter ended March 31, 2014.</w:t>
      </w:r>
    </w:p>
    <w:p>
      <w:pPr>
        <w:spacing w:after="0" w:line="1" w:lineRule="exact"/>
        <w:rPr>
          <w:rFonts w:ascii="Arial" w:cs="Arial" w:eastAsia="Arial" w:hAnsi="Arial"/>
          <w:sz w:val="18"/>
          <w:szCs w:val="18"/>
          <w:color w:val="auto"/>
        </w:rPr>
      </w:pPr>
    </w:p>
    <w:p>
      <w:pPr>
        <w:ind w:left="1300" w:right="120" w:hanging="320"/>
        <w:spacing w:after="0" w:line="250"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$360 thousand in gain on sales of loans held for sale, principally a volume-related difference due to a significant decline in residential loan refinance activity. The Company sold $15.3 million of residential loans in the quarter ended March 31, 2014, compared to $33.3 million in the quarter ended March 31, 2013.</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$65 thousand in net gains on the disposition of other real estate owned.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$45 thousand in fee income, primarily due to a decrease in transactional deposit account activity.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Noninterest expense decreased by $612 thousand for the quarter ended March 31, 2014, compared to the quarter ended March 31, 2013, principally due to the following:</w:t>
      </w:r>
    </w:p>
    <w:p>
      <w:pPr>
        <w:spacing w:after="0" w:line="170"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$928 thousand in salaries and employee benefits, principally related to incentive compensation.</w:t>
      </w:r>
    </w:p>
    <w:p>
      <w:pPr>
        <w:spacing w:after="0" w:line="23" w:lineRule="exact"/>
        <w:rPr>
          <w:rFonts w:ascii="Arial" w:cs="Arial" w:eastAsia="Arial" w:hAnsi="Arial"/>
          <w:sz w:val="18"/>
          <w:szCs w:val="18"/>
          <w:color w:val="auto"/>
        </w:rPr>
      </w:pPr>
    </w:p>
    <w:p>
      <w:pPr>
        <w:ind w:left="1300" w:right="100" w:hanging="320"/>
        <w:spacing w:after="0" w:line="250"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$232 thousand in occupancy and equipment expense, primarily due to increased rent and utilities expense, depreciation, and software expenses.</w:t>
      </w:r>
    </w:p>
    <w:p>
      <w:pPr>
        <w:ind w:left="1260" w:hanging="280"/>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$163 thousand in marketing expense, mainly due to a reduction in deposit marketing in fiscal 2014.</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$88 thousand in loan acquisition and collection expenses due, in part, to an increase of $5.0 million in loan purchases in the quarter ended March 31, 2014 when compared to the quarter ended March 31, 2013.</w:t>
      </w:r>
    </w:p>
    <w:p>
      <w:pPr>
        <w:ind w:left="1300" w:right="460" w:hanging="320"/>
        <w:spacing w:after="0" w:line="261"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$204 thousand in other noninterest expense, principally due to non-capital expenditures associated with the Company’s upcoming core banking software system conversion.</w:t>
      </w:r>
    </w:p>
    <w:p>
      <w:pPr>
        <w:sectPr>
          <w:pgSz w:w="11900" w:h="16848" w:orient="portrait"/>
          <w:cols w:equalWidth="0" w:num="1">
            <w:col w:w="11400"/>
          </w:cols>
          <w:pgMar w:left="240" w:top="341" w:right="259" w:bottom="0" w:gutter="0" w:footer="0" w:header="0"/>
        </w:sectPr>
      </w:pPr>
    </w:p>
    <w:bookmarkStart w:id="22" w:name="page23"/>
    <w:bookmarkEnd w:id="22"/>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assets increased by $80.3 million, or 12.0%, to $750.9 million at March 31, 2014, compared to June 30, 2013. The principal components of the change in the balance sheet were as follows:</w:t>
      </w:r>
    </w:p>
    <w:p>
      <w:pPr>
        <w:spacing w:after="0" w:line="170" w:lineRule="exact"/>
        <w:rPr>
          <w:sz w:val="20"/>
          <w:szCs w:val="20"/>
          <w:color w:val="auto"/>
        </w:rPr>
      </w:pPr>
    </w:p>
    <w:p>
      <w:pPr>
        <w:ind w:left="660" w:right="120" w:hanging="328"/>
        <w:spacing w:after="0" w:line="279" w:lineRule="auto"/>
        <w:tabs>
          <w:tab w:leader="none" w:pos="6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loan portfolio grew by $78.9 million, or 18.1%, compared to June 30, 2013, principally due to net growth of $68.0 million in commercial loans purchased or originated by the LASG and $10.9 million of net growth in loans originated by the Bank’s Community Banking Division. As has been discussed in the Company’s prior SEC filings, the Company made certain commitments to the Federal Reserve in connection with the merger of FHB with and into the Company in December 2010. The Company’s loan purchase capacity under these conditions follow.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3"/>
          </w:tcPr>
          <w:p>
            <w:pPr>
              <w:ind w:left="660"/>
              <w:spacing w:after="0"/>
              <w:rPr>
                <w:sz w:val="20"/>
                <w:szCs w:val="20"/>
                <w:color w:val="auto"/>
              </w:rPr>
            </w:pPr>
            <w:r>
              <w:rPr>
                <w:rFonts w:ascii="Arial" w:cs="Arial" w:eastAsia="Arial" w:hAnsi="Arial"/>
                <w:sz w:val="14"/>
                <w:szCs w:val="14"/>
                <w:b w:val="1"/>
                <w:bCs w:val="1"/>
                <w:color w:val="auto"/>
              </w:rPr>
              <w:t>Basis for</w:t>
            </w:r>
          </w:p>
        </w:tc>
        <w:tc>
          <w:tcPr>
            <w:tcW w:w="5660" w:type="dxa"/>
            <w:vAlign w:val="bottom"/>
            <w:vMerge w:val="restart"/>
          </w:tcPr>
          <w:p>
            <w:pPr>
              <w:jc w:val="right"/>
              <w:ind w:right="2434"/>
              <w:spacing w:after="0"/>
              <w:rPr>
                <w:sz w:val="20"/>
                <w:szCs w:val="20"/>
                <w:color w:val="auto"/>
              </w:rPr>
            </w:pPr>
            <w:r>
              <w:rPr>
                <w:rFonts w:ascii="Arial" w:cs="Arial" w:eastAsia="Arial" w:hAnsi="Arial"/>
                <w:sz w:val="14"/>
                <w:szCs w:val="14"/>
                <w:b w:val="1"/>
                <w:bCs w:val="1"/>
                <w:color w:val="auto"/>
              </w:rPr>
              <w:t>Condition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Purchased Loan Capacity at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60" w:type="dxa"/>
            <w:vAlign w:val="bottom"/>
            <w:gridSpan w:val="3"/>
          </w:tcPr>
          <w:p>
            <w:pPr>
              <w:ind w:left="660"/>
              <w:spacing w:after="0"/>
              <w:rPr>
                <w:sz w:val="20"/>
                <w:szCs w:val="20"/>
                <w:color w:val="auto"/>
              </w:rPr>
            </w:pPr>
            <w:r>
              <w:rPr>
                <w:rFonts w:ascii="Arial" w:cs="Arial" w:eastAsia="Arial" w:hAnsi="Arial"/>
                <w:sz w:val="14"/>
                <w:szCs w:val="14"/>
                <w:b w:val="1"/>
                <w:bCs w:val="1"/>
                <w:color w:val="auto"/>
              </w:rPr>
              <w:t>Regulatory Condition</w:t>
            </w:r>
          </w:p>
        </w:tc>
        <w:tc>
          <w:tcPr>
            <w:tcW w:w="5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Regulatory Capital</w:t>
            </w:r>
          </w:p>
        </w:tc>
        <w:tc>
          <w:tcPr>
            <w:tcW w:w="5660" w:type="dxa"/>
            <w:vAlign w:val="bottom"/>
          </w:tcPr>
          <w:p>
            <w:pPr>
              <w:spacing w:after="0"/>
              <w:rPr>
                <w:sz w:val="20"/>
                <w:szCs w:val="20"/>
                <w:color w:val="auto"/>
              </w:rPr>
            </w:pPr>
            <w:r>
              <w:rPr>
                <w:rFonts w:ascii="Arial" w:cs="Arial" w:eastAsia="Arial" w:hAnsi="Arial"/>
                <w:sz w:val="18"/>
                <w:szCs w:val="18"/>
                <w:color w:val="auto"/>
                <w:w w:val="90"/>
              </w:rPr>
              <w:t>Commercial real estate loans may not exceed 300% of total risk-based capital</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Pr>
          <w:p>
            <w:pPr>
              <w:jc w:val="right"/>
              <w:ind w:right="2434"/>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overview of the LASG portfolio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193"/>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4"/>
              </w:rPr>
              <w:t>Purchased</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4"/>
              </w:rPr>
              <w:t>Originated</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9"/>
              </w:rPr>
              <w:t>Total LASG</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4"/>
              </w:rPr>
              <w:t>Purchased</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tcPr>
          <w:p>
            <w:pPr>
              <w:jc w:val="center"/>
              <w:ind w:right="19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Loans purchased or originated during the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period:</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19,050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11,158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30,208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13,971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2,800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16,300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11,158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11,340</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2,827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Yield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13"/>
              <w:spacing w:after="0"/>
              <w:rPr>
                <w:sz w:val="20"/>
                <w:szCs w:val="20"/>
                <w:color w:val="auto"/>
              </w:rPr>
            </w:pPr>
            <w:r>
              <w:rPr>
                <w:rFonts w:ascii="Arial" w:cs="Arial" w:eastAsia="Arial" w:hAnsi="Arial"/>
                <w:sz w:val="14"/>
                <w:szCs w:val="14"/>
                <w:b w:val="1"/>
                <w:bCs w:val="1"/>
                <w:color w:val="auto"/>
                <w:w w:val="95"/>
              </w:rPr>
              <w:t>Nine Months Ended March 31,</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4"/>
              </w:rPr>
              <w:t>Purchased</w:t>
            </w: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255"/>
              <w:spacing w:after="0" w:line="142" w:lineRule="exact"/>
              <w:rPr>
                <w:sz w:val="20"/>
                <w:szCs w:val="20"/>
                <w:color w:val="auto"/>
              </w:rPr>
            </w:pPr>
            <w:r>
              <w:rPr>
                <w:rFonts w:ascii="Arial" w:cs="Arial" w:eastAsia="Arial" w:hAnsi="Arial"/>
                <w:sz w:val="14"/>
                <w:szCs w:val="14"/>
                <w:b w:val="1"/>
                <w:bCs w:val="1"/>
                <w:color w:val="auto"/>
                <w:w w:val="94"/>
              </w:rPr>
              <w:t>Originated</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9"/>
              </w:rPr>
              <w:t>Total LASG</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4"/>
              </w:rPr>
              <w:t>Purchased</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97"/>
              </w:rPr>
              <w:t>Originated</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9"/>
              </w:rPr>
              <w:t>Total LASG</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tcPr>
          <w:p>
            <w:pPr>
              <w:jc w:val="center"/>
              <w:ind w:right="19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Loans purchased or originated during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period:</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53,044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54,722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107,766</w:t>
            </w:r>
          </w:p>
        </w:tc>
        <w:tc>
          <w:tcPr>
            <w:tcW w:w="1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103,539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15,625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46,267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54,722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75,553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15,652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Yield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221,597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88,700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310,297</w:t>
            </w:r>
          </w:p>
        </w:tc>
        <w:tc>
          <w:tcPr>
            <w:tcW w:w="1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166,360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17,871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184,959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88,724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273,683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130,502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17,904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(1) The total return on purchased loans represents scheduled accretion, accelerated accretion, gains on asset sales, and other noninterest income recorded during the period divided by the average invested balance, on an annualized basis.</w:t>
      </w:r>
    </w:p>
    <w:p>
      <w:pPr>
        <w:spacing w:after="0" w:line="170" w:lineRule="exact"/>
        <w:rPr>
          <w:sz w:val="20"/>
          <w:szCs w:val="20"/>
          <w:color w:val="auto"/>
        </w:rPr>
      </w:pPr>
    </w:p>
    <w:p>
      <w:pPr>
        <w:ind w:left="660" w:right="200" w:hanging="328"/>
        <w:spacing w:after="0" w:line="264"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Deposits and borrowings increased by $78.7 million and $1.6 million, respectively, from June 30, 2013. Growth in each was tied to the Company’s strategy for funding its loan growth which, through the third quarter of fiscal 2014, included a component of duration-matched funding for residential mortgages.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and short-term investments were $74.4 million as of March 31, 2014, an increase of $8.4 million, or 12.8%, from $65.9 million at June 30, 2013.</w:t>
      </w:r>
    </w:p>
    <w:p>
      <w:pPr>
        <w:spacing w:after="0" w:line="23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Available-for-sale securities, consisting of securities issued by government agencies and government-sponsored enterprises, totaled $112.7 million as of March 31, 2014. At March 31, 2014, securities with a fair value of $30.0 million were pledged for outstanding borrowings.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ectPr>
          <w:pgSz w:w="11900" w:h="16887" w:orient="portrait"/>
          <w:cols w:equalWidth="0" w:num="1">
            <w:col w:w="11460"/>
          </w:cols>
          <w:pgMar w:left="240" w:top="337" w:right="199" w:bottom="0" w:gutter="0" w:footer="0" w:header="0"/>
        </w:sectPr>
      </w:pPr>
    </w:p>
    <w:bookmarkStart w:id="23" w:name="page24"/>
    <w:bookmarkEnd w:id="23"/>
    <w:p>
      <w:pPr>
        <w:spacing w:after="0" w:line="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loans, excluding loans held for sale, amounted to $514.3 million as of March 31, 2014, an increase of $78.9 million, or 18.1%, from $435.4 million as of June 30, 2013. The increase consisted of net growth in loans purchased or originated by the LASG of $68.0 million and net growth in loans originated by the Community Banking Division of $10.9 million. The composition of the Company’s loan portfolio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6"/>
              </w:rPr>
              <w:t>March 31, 2014</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Community</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LASG</w:t>
            </w:r>
          </w:p>
        </w:tc>
        <w:tc>
          <w:tcPr>
            <w:tcW w:w="38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Division</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121,005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121,155</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29,077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29,077</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w w:val="97"/>
              </w:rPr>
              <w:t>Commercial real estate: non-owner occupied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46,523</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39,716</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86,239</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22,970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32,445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39,383</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49,549</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10,828</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88,724</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329,293</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64.03%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Purchased loans: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non-owner occupied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129,038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129,038</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52,176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52,176</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184,959</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184,959</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0"/>
        </w:trPr>
        <w:tc>
          <w:tcPr>
            <w:tcW w:w="3700" w:type="dxa"/>
            <w:vAlign w:val="bottom"/>
          </w:tcPr>
          <w:p>
            <w:pPr>
              <w:ind w:left="5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240,569</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273,683</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514,252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June 30, 2013</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Community</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LASG</w:t>
            </w:r>
          </w:p>
        </w:tc>
        <w:tc>
          <w:tcPr>
            <w:tcW w:w="38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Division</w:t>
            </w: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89,734</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35,389</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w w:val="97"/>
              </w:rPr>
              <w:t>Commercial real estate: non-owner occupied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48,428</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18,126</w:t>
            </w:r>
          </w:p>
        </w:tc>
        <w:tc>
          <w:tcPr>
            <w:tcW w:w="3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66,554</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30,487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33,848</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business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12,444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17,242</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29,686</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13,337</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229,711</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268,590</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Purchased loans: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Commercial real estate: non-owner occupied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125,496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125,496</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38,550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38,550</w:t>
            </w:r>
          </w:p>
        </w:tc>
        <w:tc>
          <w:tcPr>
            <w:tcW w:w="2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166,786</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23"/>
        </w:trPr>
        <w:tc>
          <w:tcPr>
            <w:tcW w:w="3700" w:type="dxa"/>
            <w:vAlign w:val="bottom"/>
          </w:tcPr>
          <w:p>
            <w:pPr>
              <w:ind w:left="5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229,711</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205,665</w:t>
            </w:r>
          </w:p>
        </w:tc>
        <w:tc>
          <w:tcPr>
            <w:tcW w:w="28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435,376</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classified as non-performing when 90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details the Company’s nonperforming assets and other credit quality indicators as of March 31, 2014 and June 30, 2013. The net increase in nonperforming assets during the nine months ended March 31, 2014 was principally due to four purchased loan relationships. Management believes that, based on their carrying amounts, these nonperforming assets are well secured based on the estimated fair value of underlying collateral.</w:t>
      </w:r>
    </w:p>
    <w:p>
      <w:pPr>
        <w:spacing w:after="0" w:line="157"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Non-Performing Assets at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6350</wp:posOffset>
            </wp:positionV>
            <wp:extent cx="3198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ind w:left="4940"/>
        <w:spacing w:after="0"/>
        <w:tabs>
          <w:tab w:leader="none" w:pos="7200" w:val="left"/>
          <w:tab w:leader="none" w:pos="8880" w:val="left"/>
        </w:tabs>
        <w:rPr>
          <w:sz w:val="20"/>
          <w:szCs w:val="20"/>
          <w:color w:val="auto"/>
        </w:rPr>
      </w:pPr>
      <w:r>
        <w:rPr>
          <w:rFonts w:ascii="Arial" w:cs="Arial" w:eastAsia="Arial" w:hAnsi="Arial"/>
          <w:sz w:val="14"/>
          <w:szCs w:val="14"/>
          <w:b w:val="1"/>
          <w:bCs w:val="1"/>
          <w:color w:val="auto"/>
        </w:rPr>
        <w:t>Community Banking</w:t>
      </w:r>
      <w:r>
        <w:rPr>
          <w:sz w:val="20"/>
          <w:szCs w:val="20"/>
          <w:color w:val="auto"/>
        </w:rPr>
        <w:tab/>
      </w:r>
      <w:r>
        <w:rPr>
          <w:rFonts w:ascii="Arial" w:cs="Arial" w:eastAsia="Arial" w:hAnsi="Arial"/>
          <w:sz w:val="14"/>
          <w:szCs w:val="14"/>
          <w:b w:val="1"/>
          <w:bCs w:val="1"/>
          <w:color w:val="auto"/>
        </w:rPr>
        <w:t>LASG</w:t>
      </w:r>
      <w:r>
        <w:rPr>
          <w:sz w:val="20"/>
          <w:szCs w:val="20"/>
          <w:color w:val="auto"/>
        </w:rPr>
        <w:tab/>
      </w:r>
      <w:r>
        <w:rPr>
          <w:rFonts w:ascii="Arial" w:cs="Arial" w:eastAsia="Arial" w:hAnsi="Arial"/>
          <w:sz w:val="13"/>
          <w:szCs w:val="13"/>
          <w:b w:val="1"/>
          <w:bCs w:val="1"/>
          <w:color w:val="auto"/>
        </w:rPr>
        <w:t>Total</w:t>
      </w:r>
    </w:p>
    <w:p>
      <w:pPr>
        <w:sectPr>
          <w:pgSz w:w="11900" w:h="16917" w:orient="portrait"/>
          <w:cols w:equalWidth="0" w:num="1">
            <w:col w:w="11420"/>
          </w:cols>
          <w:pgMar w:left="240" w:top="341" w:right="239" w:bottom="0" w:gutter="0" w:footer="0" w:header="0"/>
        </w:sectPr>
      </w:pPr>
    </w:p>
    <w:bookmarkStart w:id="24" w:name="page25"/>
    <w:bookmarkEnd w:id="24"/>
    <w:p>
      <w:pPr>
        <w:spacing w:after="0" w:line="2"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Division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0" w:type="dxa"/>
            <w:vAlign w:val="bottom"/>
          </w:tcPr>
          <w:p>
            <w:pPr>
              <w:jc w:val="right"/>
              <w:ind w:right="104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4,582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7,424</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104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Borders>
              <w:bottom w:val="single" w:sz="8" w:color="CCEEFF"/>
            </w:tcBorders>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Loans risk rated substandard or worse</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11,023</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4"/>
                <w:szCs w:val="14"/>
                <w:b w:val="1"/>
                <w:bCs w:val="1"/>
                <w:color w:val="auto"/>
                <w:w w:val="91"/>
              </w:rPr>
              <w:t>Non-Performing Assets at June 30, 2013</w:t>
            </w: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Community Banking</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Division</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0" w:type="dxa"/>
            <w:vAlign w:val="bottom"/>
          </w:tcPr>
          <w:p>
            <w:pPr>
              <w:jc w:val="right"/>
              <w:ind w:right="104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104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60" w:type="dxa"/>
            <w:vAlign w:val="bottom"/>
            <w:tcBorders>
              <w:bottom w:val="single" w:sz="8" w:color="CCEEFF"/>
            </w:tcBorders>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Ratio of nonperforming loans to total loans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assets to total assets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Ratio of loans past due to total loans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that are current</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Loans risk rated substandard or worse</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3,417</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2,632</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Nonaccrual status</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tcPr>
          <w:p>
            <w:pPr>
              <w:jc w:val="right"/>
              <w:ind w:right="24"/>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allowance for loan losses was $1.3 million as of March 31, 2014, which represents an increase of $202 thousand from $1.1 million as of June 30, 2013. The increase during the period was principally due to increases in reserves necessary for specific reserves on troubled debt restructurings and general allowances on newly originated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 cash surrender value of the Company’s bank-owned life insurance (“BOLI”) assets increased $341 thousand, or 2.4%, to $14.7 million at March 31, 2014, compared to $14.4 million at June 30, 2013. Increases in cash surrender value are recognized in other income and are not subject to income taxes.</w:t>
      </w:r>
    </w:p>
    <w:p>
      <w:pPr>
        <w:sectPr>
          <w:pgSz w:w="11900" w:h="16840" w:orient="portrait"/>
          <w:cols w:equalWidth="0" w:num="1">
            <w:col w:w="11460"/>
          </w:cols>
          <w:pgMar w:left="240" w:top="118" w:right="199" w:bottom="0" w:gutter="0" w:footer="0" w:header="0"/>
        </w:sectPr>
      </w:pPr>
    </w:p>
    <w:bookmarkStart w:id="25" w:name="page26"/>
    <w:bookmarkEnd w:id="25"/>
    <w:p>
      <w:pPr>
        <w:ind w:right="760"/>
        <w:spacing w:after="0" w:line="308" w:lineRule="auto"/>
        <w:rPr>
          <w:sz w:val="20"/>
          <w:szCs w:val="20"/>
          <w:color w:val="auto"/>
        </w:rPr>
      </w:pPr>
      <w:r>
        <w:rPr>
          <w:rFonts w:ascii="Arial" w:cs="Arial" w:eastAsia="Arial" w:hAnsi="Arial"/>
          <w:sz w:val="17"/>
          <w:szCs w:val="17"/>
          <w:color w:val="auto"/>
        </w:rPr>
        <w:t>Borrowing on, or surrendering a policy, may subject the Company to income tax expense on the increase in cash surrender value. For these reasons, management considers BOLI an illiquid asset. BOLI represented 11.9% of the Company’s total risk-based capital at March 31, 2014.</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Intangible assets totaled $3.0 million and $3.5 million at March 31, 2014 and June 30, 2013, respectively. The $582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2014, non-maturity accounts and certificates of deposit with balances less than $250 thousand represented 99.6% of total deposits.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deposits increased $78.7 million to $563.3 million as of March 31, 2014 from $484.6 million as of June 30, 2013. The increase, which funded growth in the Company’s loan portfolio, was principally from term deposits raised through deposit listing services, which has provided the Bank with longer term funding than can typically be attracted through retail channels. At March 31, 2014, the Bank had $138.6 million of such deposit funding, with a weighted-average original term of 3.0 years. The composition of total deposits at March 31, 2014 and June 30, 2013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4"/>
              </w:rPr>
              <w:t>March 31, 2014</w:t>
            </w:r>
          </w:p>
        </w:tc>
        <w:tc>
          <w:tcPr>
            <w:tcW w:w="10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0"/>
              </w:rPr>
              <w:t>June 30, 2013</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w w:val="97"/>
              </w:rPr>
              <w:t>Percent of</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w w:val="97"/>
              </w:rPr>
              <w:t>Percent of</w:t>
            </w: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420" w:type="dxa"/>
            <w:vAlign w:val="bottom"/>
            <w:gridSpan w:val="2"/>
          </w:tcPr>
          <w:p>
            <w:pPr>
              <w:jc w:val="right"/>
              <w:ind w:right="85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1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6"/>
          </w:tcPr>
          <w:p>
            <w:pPr>
              <w:ind w:left="4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43,294</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46,425</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NOW accounts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64,966</w:t>
            </w:r>
          </w:p>
        </w:tc>
        <w:tc>
          <w:tcPr>
            <w:tcW w:w="360" w:type="dxa"/>
            <w:vAlign w:val="bottom"/>
          </w:tcPr>
          <w:p>
            <w:pPr>
              <w:spacing w:after="0"/>
              <w:rPr>
                <w:sz w:val="18"/>
                <w:szCs w:val="18"/>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57,334</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35,995</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33,636</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deposits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86,735</w:t>
            </w:r>
          </w:p>
        </w:tc>
        <w:tc>
          <w:tcPr>
            <w:tcW w:w="360" w:type="dxa"/>
            <w:vAlign w:val="bottom"/>
          </w:tcPr>
          <w:p>
            <w:pPr>
              <w:spacing w:after="0"/>
              <w:rPr>
                <w:sz w:val="18"/>
                <w:szCs w:val="18"/>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15.40%</w:t>
            </w:r>
          </w:p>
        </w:tc>
        <w:tc>
          <w:tcPr>
            <w:tcW w:w="2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84,416</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230,990</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41.01%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221,811</w:t>
            </w:r>
          </w:p>
        </w:tc>
        <w:tc>
          <w:tcPr>
            <w:tcW w:w="2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w w:val="97"/>
              </w:rPr>
              <w:t>Term certificates less than $250 thousand</w:t>
            </w: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329,988</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58.58%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254,384</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52.49%</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4"/>
              </w:rPr>
              <w:t>Term certificates of $250 thousand or more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Total certificate accounts</w:t>
            </w: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332,320</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58.99%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262,812</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54.23%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484,623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575"/>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Advances from the FHLB were $42.9 million and $28.0 million at March 31, 2014 and June 30, 2013, respectively; the increase the result of $15.0 million of new advances during the period used to fund a portion of the Company’s residential loan growth. In conjunction with the aforementioned FHLB advances, the Company entered into interest rate swaps with a weighted average pay rate and term of 3.13% and 15 years, respectively. The interest rate swaps have been designated has cash flow hedges of the variability of cash flows associated with the variable rate debt.</w:t>
      </w:r>
    </w:p>
    <w:p>
      <w:pPr>
        <w:spacing w:after="0" w:line="171" w:lineRule="exact"/>
        <w:rPr>
          <w:sz w:val="20"/>
          <w:szCs w:val="20"/>
          <w:color w:val="auto"/>
        </w:rPr>
      </w:pPr>
    </w:p>
    <w:p>
      <w:pPr>
        <w:jc w:val="both"/>
        <w:ind w:right="700"/>
        <w:spacing w:after="0" w:line="342" w:lineRule="auto"/>
        <w:rPr>
          <w:sz w:val="20"/>
          <w:szCs w:val="20"/>
          <w:color w:val="auto"/>
        </w:rPr>
      </w:pPr>
      <w:r>
        <w:rPr>
          <w:rFonts w:ascii="Arial" w:cs="Arial" w:eastAsia="Arial" w:hAnsi="Arial"/>
          <w:sz w:val="16"/>
          <w:szCs w:val="16"/>
          <w:color w:val="auto"/>
        </w:rPr>
        <w:t>At March 31, 2014, the Company had pledged investment securities with a fair value of $18.2 million, as well as certain residential real estate loans, commercial real estate loans, and FHLB deposits free of liens or pledges to secure outstanding advances and available additional borrowing capacity.</w:t>
      </w:r>
    </w:p>
    <w:p>
      <w:pPr>
        <w:spacing w:after="0" w:line="12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Wholesale repurchase agreements were $10.2 million and $25.4 million at March 31, 2014 and June 30, 2013, respectively. During the nine months ended March 31, 2014, the Company repaid at maturity wholesale repurchase agreements totaling $15.0 million. At March 31, 2014, the Company had pledged investment securities with a fair value of $11.8 million as collateral for outstanding wholesale repurchase agreements.</w:t>
      </w:r>
    </w:p>
    <w:p>
      <w:pPr>
        <w:spacing w:after="0" w:line="166"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Short-term borrowings, consisting of sweep accounts and repurchase agreements, were $2.6 million and $625 thousand as of March 31, 2014 and June 30,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is a summary of the liquidity the Company had the ability to access as of March 31, 2014, in addition to traditional retail deposit products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187,723</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94,172</w:t>
            </w:r>
          </w:p>
        </w:tc>
        <w:tc>
          <w:tcPr>
            <w:tcW w:w="4800" w:type="dxa"/>
            <w:vAlign w:val="bottom"/>
          </w:tcPr>
          <w:p>
            <w:pPr>
              <w:ind w:left="140"/>
              <w:spacing w:after="0"/>
              <w:rPr>
                <w:sz w:val="20"/>
                <w:szCs w:val="20"/>
                <w:color w:val="auto"/>
              </w:rPr>
            </w:pPr>
            <w:r>
              <w:rPr>
                <w:rFonts w:ascii="Arial" w:cs="Arial" w:eastAsia="Arial" w:hAnsi="Arial"/>
                <w:sz w:val="18"/>
                <w:szCs w:val="18"/>
                <w:color w:val="auto"/>
              </w:rPr>
              <w:t>Based on eligible and qualified collateral</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Federal Reserve Discount Window Borrower-in-Custody</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Based on the pledge of indirect auto loans</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82,769</w:t>
            </w:r>
          </w:p>
        </w:tc>
        <w:tc>
          <w:tcPr>
            <w:tcW w:w="4800" w:type="dxa"/>
            <w:vAlign w:val="bottom"/>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364,674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typically does not seek wholesale funding such as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March 31, 2014, the Company had $364.7 million of immediately accessible liquidity, defined as additional cash that could be raised within seven days through collateralized borrowings, brokered deposits or security sales. This position represented 48.6% of total assets. The Company also had $74.4 million of cash and cash equivalents at March 31, 2014.</w:t>
      </w:r>
    </w:p>
    <w:p>
      <w:pPr>
        <w:sectPr>
          <w:pgSz w:w="11900" w:h="16838" w:orient="portrait"/>
          <w:cols w:equalWidth="0" w:num="1">
            <w:col w:w="11460"/>
          </w:cols>
          <w:pgMar w:left="240" w:top="125" w:right="199" w:bottom="0" w:gutter="0" w:footer="0" w:header="0"/>
        </w:sectPr>
      </w:pPr>
    </w:p>
    <w:bookmarkStart w:id="26" w:name="page27"/>
    <w:bookmarkEnd w:id="26"/>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$8.4 million and $16.5 million, respectively, as of March 31, 2014. This debt represents qualifying Tier 1 capital for the Company, up to a maximum of 25% of total Tier 1 capital. At March 31, 2014, the carrying amounts of the junior subordinated notes, net of the Company’s $496 thousand investment in the affiliated trusts, qualified as Tier 1 capital.</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March 31, 2014, stockholders’ equity was $114.0 million, an increase of $206 thousand compared to June 30, 2013. Book value per outstanding common share was $10.93 at March 31, 2014 and $10.89 at June 30, 2013. Tier 1 capital to total average assets of the Company was 16.28% as of March 31, 2014 and 17.78% at June 30, 2013.</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Federal Reserve’s capital adequacy standards also apply to state-chartered banks that are members of the Federal Reserve System, such as the Bank. Moreover, the Federal Reserve has promulgated corresponding regulations to implement the system of prompt corrective action established by Section 38 of the Federal Deposit Insurance Act.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Basel Committee on Banking Supervision has also released new capital requirements, known as Basel III, setting forth higher capital requirements, enhanced risk coverage, a global leverage ratio, provisions for counter-cyclical capital, and liquidity standards. On July 2, 2013, the Federal Reserve, along with the other federal banking agencies, issued a final rule (the “Final Capital Rule”) implementing the Basel III capital standards and establishing the minimum capital requirements for banks and bank holding companies required under the Dodd-Frank Act. The majority of the provisions of the Final Capital Rule apply to bank holding companies and banks with consolidated assets of $500 million or more, such as the Company and the Bank. The Final Capital Rule establishes a new capital risk-based capital ratio, a minimum common equity Tier 1 capital ratio of 6.5% of risk-weighted assets to be a “well capitalized” institution, and increase the minimum total Tier 1 capital ratio to be a “well capitalized” institution from 6.0% to 8.0%. Additionally, the Final Capital Rule requires that an institution establish a capital conservation buffer of common equity Tier 1 capital in an amount above the minimum risk-based capital requirements for “adequately capitalized” institutions equal to 2.5% of total risk weight assets, or face restrictions on capital distributions and executive bonuses. The Final Capital Rule increases the required capital for certain categories of assets, including higher-risk construction real estate loans and certain exposures related to securitizations. Under the Final Capital Rule, the Company may make a one-time, permanent election to continue to exclude accumulated other comprehensive income from capital. If the Company does not make this election, unrealized gains and losses would be included in the calculation of its regulatory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comply with the Final Capital Rule beginning on January 1, 2015.</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Bank and the Company are subject to capital commitments with the Federal Reserve and the Bureau that require higher minimum capital ratios. These commitments require that the Company and the Bank (i) maintain a Tier 1 leverage ratio of at least 10%; and (ii) maintain a total risk-based capital ratio of at least 15%. The Bank and the Company were in compliance with these commitments at March 31,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left="504"/>
              <w:spacing w:after="0"/>
              <w:rPr>
                <w:sz w:val="20"/>
                <w:szCs w:val="20"/>
                <w:color w:val="auto"/>
              </w:rPr>
            </w:pPr>
            <w:r>
              <w:rPr>
                <w:rFonts w:ascii="Arial" w:cs="Arial" w:eastAsia="Arial" w:hAnsi="Arial"/>
                <w:sz w:val="14"/>
                <w:szCs w:val="14"/>
                <w:b w:val="1"/>
                <w:bCs w:val="1"/>
                <w:color w:val="auto"/>
              </w:rPr>
              <w:t>Minimum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center"/>
              <w:ind w:left="543"/>
              <w:spacing w:after="0"/>
              <w:rPr>
                <w:sz w:val="20"/>
                <w:szCs w:val="20"/>
                <w:color w:val="auto"/>
              </w:rPr>
            </w:pPr>
            <w:r>
              <w:rPr>
                <w:rFonts w:ascii="Arial" w:cs="Arial" w:eastAsia="Arial" w:hAnsi="Arial"/>
                <w:sz w:val="14"/>
                <w:szCs w:val="14"/>
                <w:b w:val="1"/>
                <w:bCs w:val="1"/>
                <w:color w:val="auto"/>
                <w:w w:val="97"/>
              </w:rPr>
              <w:t>Minimum</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left="504"/>
              <w:spacing w:after="0" w:line="149" w:lineRule="exact"/>
              <w:rPr>
                <w:sz w:val="20"/>
                <w:szCs w:val="20"/>
                <w:color w:val="auto"/>
              </w:rPr>
            </w:pPr>
            <w:r>
              <w:rPr>
                <w:rFonts w:ascii="Arial" w:cs="Arial" w:eastAsia="Arial" w:hAnsi="Arial"/>
                <w:sz w:val="14"/>
                <w:szCs w:val="14"/>
                <w:b w:val="1"/>
                <w:bCs w:val="1"/>
                <w:color w:val="auto"/>
                <w:w w:val="92"/>
              </w:rPr>
              <w:t>To Be Well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left="543"/>
              <w:spacing w:after="0" w:line="149" w:lineRule="exact"/>
              <w:rPr>
                <w:sz w:val="20"/>
                <w:szCs w:val="20"/>
                <w:color w:val="auto"/>
              </w:rPr>
            </w:pPr>
            <w:r>
              <w:rPr>
                <w:rFonts w:ascii="Arial" w:cs="Arial" w:eastAsia="Arial" w:hAnsi="Arial"/>
                <w:sz w:val="14"/>
                <w:szCs w:val="14"/>
                <w:b w:val="1"/>
                <w:bCs w:val="1"/>
                <w:color w:val="auto"/>
                <w:w w:val="94"/>
              </w:rPr>
              <w:t>Capital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left="83"/>
              <w:spacing w:after="0"/>
              <w:rPr>
                <w:sz w:val="20"/>
                <w:szCs w:val="20"/>
                <w:color w:val="auto"/>
              </w:rPr>
            </w:pPr>
            <w:r>
              <w:rPr>
                <w:rFonts w:ascii="Arial" w:cs="Arial" w:eastAsia="Arial" w:hAnsi="Arial"/>
                <w:sz w:val="14"/>
                <w:szCs w:val="14"/>
                <w:b w:val="1"/>
                <w:bCs w:val="1"/>
                <w:color w:val="auto"/>
                <w:w w:val="92"/>
              </w:rPr>
              <w:t>Requirements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Action Provisions</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Ratio</w:t>
            </w:r>
          </w:p>
        </w:tc>
        <w:tc>
          <w:tcPr>
            <w:tcW w:w="40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63"/>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Ratio</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724"/>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379"/>
              <w:spacing w:after="0" w:line="176" w:lineRule="exact"/>
              <w:rPr>
                <w:sz w:val="20"/>
                <w:szCs w:val="20"/>
                <w:color w:val="auto"/>
              </w:rPr>
            </w:pPr>
            <w:r>
              <w:rPr>
                <w:rFonts w:ascii="Arial" w:cs="Arial" w:eastAsia="Arial" w:hAnsi="Arial"/>
                <w:sz w:val="18"/>
                <w:szCs w:val="18"/>
                <w:color w:val="auto"/>
              </w:rPr>
              <w:t>122,945</w:t>
            </w:r>
          </w:p>
        </w:tc>
        <w:tc>
          <w:tcPr>
            <w:tcW w:w="124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24.21%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463"/>
              <w:spacing w:after="0" w:line="176" w:lineRule="exact"/>
              <w:rPr>
                <w:sz w:val="20"/>
                <w:szCs w:val="20"/>
                <w:color w:val="auto"/>
              </w:rPr>
            </w:pPr>
            <w:r>
              <w:rPr>
                <w:rFonts w:ascii="Arial" w:cs="Arial" w:eastAsia="Arial" w:hAnsi="Arial"/>
                <w:sz w:val="18"/>
                <w:szCs w:val="18"/>
                <w:color w:val="auto"/>
              </w:rPr>
              <w:t>40,631</w:t>
            </w:r>
          </w:p>
        </w:tc>
        <w:tc>
          <w:tcPr>
            <w:tcW w:w="44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360" w:type="dxa"/>
            <w:vAlign w:val="bottom"/>
            <w:shd w:val="clear" w:color="auto" w:fill="CCEEFF"/>
          </w:tcPr>
          <w:p>
            <w:pPr>
              <w:jc w:val="right"/>
              <w:ind w:right="484"/>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80" w:type="dxa"/>
            <w:vAlign w:val="bottom"/>
          </w:tcPr>
          <w:p>
            <w:pPr>
              <w:ind w:left="18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340" w:type="dxa"/>
            <w:vAlign w:val="bottom"/>
          </w:tcPr>
          <w:p>
            <w:pPr>
              <w:jc w:val="right"/>
              <w:ind w:right="379"/>
              <w:spacing w:after="0" w:line="176" w:lineRule="exact"/>
              <w:rPr>
                <w:sz w:val="20"/>
                <w:szCs w:val="20"/>
                <w:color w:val="auto"/>
              </w:rPr>
            </w:pPr>
            <w:r>
              <w:rPr>
                <w:rFonts w:ascii="Arial" w:cs="Arial" w:eastAsia="Arial" w:hAnsi="Arial"/>
                <w:sz w:val="18"/>
                <w:szCs w:val="18"/>
                <w:color w:val="auto"/>
              </w:rPr>
              <w:t>102,257</w:t>
            </w:r>
          </w:p>
        </w:tc>
        <w:tc>
          <w:tcPr>
            <w:tcW w:w="12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20.13%</w:t>
            </w:r>
          </w:p>
        </w:tc>
        <w:tc>
          <w:tcPr>
            <w:tcW w:w="140" w:type="dxa"/>
            <w:vAlign w:val="bottom"/>
          </w:tcPr>
          <w:p>
            <w:pPr>
              <w:spacing w:after="0"/>
              <w:rPr>
                <w:sz w:val="15"/>
                <w:szCs w:val="15"/>
                <w:color w:val="auto"/>
              </w:rPr>
            </w:pPr>
          </w:p>
        </w:tc>
        <w:tc>
          <w:tcPr>
            <w:tcW w:w="1300" w:type="dxa"/>
            <w:vAlign w:val="bottom"/>
          </w:tcPr>
          <w:p>
            <w:pPr>
              <w:jc w:val="right"/>
              <w:ind w:right="463"/>
              <w:spacing w:after="0" w:line="176" w:lineRule="exact"/>
              <w:rPr>
                <w:sz w:val="20"/>
                <w:szCs w:val="20"/>
                <w:color w:val="auto"/>
              </w:rPr>
            </w:pPr>
            <w:r>
              <w:rPr>
                <w:rFonts w:ascii="Arial" w:cs="Arial" w:eastAsia="Arial" w:hAnsi="Arial"/>
                <w:sz w:val="18"/>
                <w:szCs w:val="18"/>
                <w:color w:val="auto"/>
              </w:rPr>
              <w:t>40,648</w:t>
            </w:r>
          </w:p>
        </w:tc>
        <w:tc>
          <w:tcPr>
            <w:tcW w:w="440" w:type="dxa"/>
            <w:vAlign w:val="bottom"/>
          </w:tcPr>
          <w:p>
            <w:pPr>
              <w:spacing w:after="0"/>
              <w:rPr>
                <w:sz w:val="15"/>
                <w:szCs w:val="15"/>
                <w:color w:val="auto"/>
              </w:rPr>
            </w:pPr>
          </w:p>
        </w:tc>
        <w:tc>
          <w:tcPr>
            <w:tcW w:w="66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160" w:type="dxa"/>
            <w:vAlign w:val="bottom"/>
          </w:tcPr>
          <w:p>
            <w:pPr>
              <w:spacing w:after="0"/>
              <w:rPr>
                <w:sz w:val="15"/>
                <w:szCs w:val="15"/>
                <w:color w:val="auto"/>
              </w:rPr>
            </w:pPr>
          </w:p>
        </w:tc>
        <w:tc>
          <w:tcPr>
            <w:tcW w:w="1360" w:type="dxa"/>
            <w:vAlign w:val="bottom"/>
          </w:tcPr>
          <w:p>
            <w:pPr>
              <w:jc w:val="right"/>
              <w:ind w:right="484"/>
              <w:spacing w:after="0" w:line="176" w:lineRule="exact"/>
              <w:rPr>
                <w:sz w:val="20"/>
                <w:szCs w:val="20"/>
                <w:color w:val="auto"/>
              </w:rPr>
            </w:pPr>
            <w:r>
              <w:rPr>
                <w:rFonts w:ascii="Arial" w:cs="Arial" w:eastAsia="Arial" w:hAnsi="Arial"/>
                <w:sz w:val="18"/>
                <w:szCs w:val="18"/>
                <w:color w:val="auto"/>
              </w:rPr>
              <w:t>50,811</w:t>
            </w:r>
          </w:p>
        </w:tc>
        <w:tc>
          <w:tcPr>
            <w:tcW w:w="920" w:type="dxa"/>
            <w:vAlign w:val="bottom"/>
            <w:gridSpan w:val="4"/>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Tier 1 capital to risk weighted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997700" cy="10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10160"/>
                    </a:xfrm>
                    <a:prstGeom prst="rect">
                      <a:avLst/>
                    </a:prstGeom>
                    <a:noFill/>
                  </pic:spPr>
                </pic:pic>
              </a:graphicData>
            </a:graphic>
          </wp:anchor>
        </w:drawing>
      </w:r>
    </w:p>
    <w:p>
      <w:pPr>
        <w:sectPr>
          <w:pgSz w:w="11900" w:h="16875" w:orient="portrait"/>
          <w:cols w:equalWidth="0" w:num="1">
            <w:col w:w="11400"/>
          </w:cols>
          <w:pgMar w:left="240" w:top="125" w:right="25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121,590</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20,316</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5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98,238</w:t>
            </w:r>
          </w:p>
        </w:tc>
        <w:tc>
          <w:tcPr>
            <w:tcW w:w="11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19.33%</w:t>
            </w:r>
          </w:p>
        </w:tc>
        <w:tc>
          <w:tcPr>
            <w:tcW w:w="360" w:type="dxa"/>
            <w:vAlign w:val="bottom"/>
          </w:tcPr>
          <w:p>
            <w:pPr>
              <w:spacing w:after="0"/>
              <w:rPr>
                <w:sz w:val="15"/>
                <w:szCs w:val="15"/>
                <w:color w:val="auto"/>
              </w:rPr>
            </w:pPr>
          </w:p>
        </w:tc>
        <w:tc>
          <w:tcPr>
            <w:tcW w:w="1640" w:type="dxa"/>
            <w:vAlign w:val="bottom"/>
          </w:tcPr>
          <w:p>
            <w:pPr>
              <w:jc w:val="right"/>
              <w:ind w:right="890"/>
              <w:spacing w:after="0" w:line="176" w:lineRule="exact"/>
              <w:rPr>
                <w:sz w:val="20"/>
                <w:szCs w:val="20"/>
                <w:color w:val="auto"/>
              </w:rPr>
            </w:pPr>
            <w:r>
              <w:rPr>
                <w:rFonts w:ascii="Arial" w:cs="Arial" w:eastAsia="Arial" w:hAnsi="Arial"/>
                <w:sz w:val="18"/>
                <w:szCs w:val="18"/>
                <w:color w:val="auto"/>
              </w:rPr>
              <w:t>20,324</w:t>
            </w:r>
          </w:p>
        </w:tc>
        <w:tc>
          <w:tcPr>
            <w:tcW w:w="94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810"/>
              <w:spacing w:after="0" w:line="176" w:lineRule="exact"/>
              <w:rPr>
                <w:sz w:val="20"/>
                <w:szCs w:val="20"/>
                <w:color w:val="auto"/>
              </w:rPr>
            </w:pPr>
            <w:r>
              <w:rPr>
                <w:rFonts w:ascii="Arial" w:cs="Arial" w:eastAsia="Arial" w:hAnsi="Arial"/>
                <w:sz w:val="18"/>
                <w:szCs w:val="18"/>
                <w:color w:val="auto"/>
              </w:rPr>
              <w:t>30,486</w:t>
            </w:r>
          </w:p>
        </w:tc>
        <w:tc>
          <w:tcPr>
            <w:tcW w:w="580" w:type="dxa"/>
            <w:vAlign w:val="bottom"/>
            <w:gridSpan w:val="4"/>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121,590</w:t>
            </w:r>
          </w:p>
        </w:tc>
        <w:tc>
          <w:tcPr>
            <w:tcW w:w="11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16.28%</w:t>
            </w:r>
          </w:p>
        </w:tc>
        <w:tc>
          <w:tcPr>
            <w:tcW w:w="3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0"/>
              <w:spacing w:after="0" w:line="176" w:lineRule="exact"/>
              <w:rPr>
                <w:sz w:val="20"/>
                <w:szCs w:val="20"/>
                <w:color w:val="auto"/>
              </w:rPr>
            </w:pPr>
            <w:r>
              <w:rPr>
                <w:rFonts w:ascii="Arial" w:cs="Arial" w:eastAsia="Arial" w:hAnsi="Arial"/>
                <w:sz w:val="18"/>
                <w:szCs w:val="18"/>
                <w:color w:val="auto"/>
              </w:rPr>
              <w:t>29,878</w:t>
            </w: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810"/>
              <w:spacing w:after="0" w:line="176" w:lineRule="exact"/>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5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98,238</w:t>
            </w:r>
          </w:p>
        </w:tc>
        <w:tc>
          <w:tcPr>
            <w:tcW w:w="11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13.22%</w:t>
            </w:r>
          </w:p>
        </w:tc>
        <w:tc>
          <w:tcPr>
            <w:tcW w:w="360" w:type="dxa"/>
            <w:vAlign w:val="bottom"/>
          </w:tcPr>
          <w:p>
            <w:pPr>
              <w:spacing w:after="0"/>
              <w:rPr>
                <w:sz w:val="15"/>
                <w:szCs w:val="15"/>
                <w:color w:val="auto"/>
              </w:rPr>
            </w:pPr>
          </w:p>
        </w:tc>
        <w:tc>
          <w:tcPr>
            <w:tcW w:w="1640" w:type="dxa"/>
            <w:vAlign w:val="bottom"/>
          </w:tcPr>
          <w:p>
            <w:pPr>
              <w:jc w:val="right"/>
              <w:ind w:right="890"/>
              <w:spacing w:after="0" w:line="176" w:lineRule="exact"/>
              <w:rPr>
                <w:sz w:val="20"/>
                <w:szCs w:val="20"/>
                <w:color w:val="auto"/>
              </w:rPr>
            </w:pPr>
            <w:r>
              <w:rPr>
                <w:rFonts w:ascii="Arial" w:cs="Arial" w:eastAsia="Arial" w:hAnsi="Arial"/>
                <w:sz w:val="18"/>
                <w:szCs w:val="18"/>
                <w:color w:val="auto"/>
              </w:rPr>
              <w:t>29,733</w:t>
            </w:r>
          </w:p>
        </w:tc>
        <w:tc>
          <w:tcPr>
            <w:tcW w:w="94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810"/>
              <w:spacing w:after="0" w:line="176" w:lineRule="exact"/>
              <w:rPr>
                <w:sz w:val="20"/>
                <w:szCs w:val="20"/>
                <w:color w:val="auto"/>
              </w:rPr>
            </w:pPr>
            <w:r>
              <w:rPr>
                <w:rFonts w:ascii="Arial" w:cs="Arial" w:eastAsia="Arial" w:hAnsi="Arial"/>
                <w:sz w:val="18"/>
                <w:szCs w:val="18"/>
                <w:color w:val="auto"/>
              </w:rPr>
              <w:t>37,166</w:t>
            </w:r>
          </w:p>
        </w:tc>
        <w:tc>
          <w:tcPr>
            <w:tcW w:w="580" w:type="dxa"/>
            <w:vAlign w:val="bottom"/>
            <w:gridSpan w:val="4"/>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June 30, 2013:</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5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122,291</w:t>
            </w:r>
          </w:p>
        </w:tc>
        <w:tc>
          <w:tcPr>
            <w:tcW w:w="11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27.54%</w:t>
            </w:r>
          </w:p>
        </w:tc>
        <w:tc>
          <w:tcPr>
            <w:tcW w:w="3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890"/>
              <w:spacing w:after="0" w:line="176" w:lineRule="exact"/>
              <w:rPr>
                <w:sz w:val="20"/>
                <w:szCs w:val="20"/>
                <w:color w:val="auto"/>
              </w:rPr>
            </w:pPr>
            <w:r>
              <w:rPr>
                <w:rFonts w:ascii="Arial" w:cs="Arial" w:eastAsia="Arial" w:hAnsi="Arial"/>
                <w:sz w:val="18"/>
                <w:szCs w:val="18"/>
                <w:color w:val="auto"/>
              </w:rPr>
              <w:t>35,520</w:t>
            </w:r>
          </w:p>
        </w:tc>
        <w:tc>
          <w:tcPr>
            <w:tcW w:w="940" w:type="dxa"/>
            <w:vAlign w:val="bottom"/>
            <w:gridSpan w:val="2"/>
          </w:tcPr>
          <w:p>
            <w:pPr>
              <w:spacing w:after="0" w:line="176" w:lineRule="exact"/>
              <w:rPr>
                <w:sz w:val="20"/>
                <w:szCs w:val="20"/>
                <w:color w:val="auto"/>
              </w:rPr>
            </w:pPr>
            <w:r>
              <w:rPr>
                <w:rFonts w:ascii="Arial" w:cs="Arial" w:eastAsia="Arial" w:hAnsi="Arial"/>
                <w:sz w:val="18"/>
                <w:szCs w:val="18"/>
                <w:color w:val="auto"/>
              </w:rPr>
              <w:t>&gt;8.0%  $</w:t>
            </w:r>
          </w:p>
        </w:tc>
        <w:tc>
          <w:tcPr>
            <w:tcW w:w="1580" w:type="dxa"/>
            <w:vAlign w:val="bottom"/>
          </w:tcPr>
          <w:p>
            <w:pPr>
              <w:jc w:val="right"/>
              <w:ind w:right="810"/>
              <w:spacing w:after="0" w:line="176"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99,527</w:t>
            </w:r>
          </w:p>
        </w:tc>
        <w:tc>
          <w:tcPr>
            <w:tcW w:w="11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22.30%</w:t>
            </w:r>
          </w:p>
        </w:tc>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90"/>
              <w:spacing w:after="0" w:line="176" w:lineRule="exact"/>
              <w:rPr>
                <w:sz w:val="20"/>
                <w:szCs w:val="20"/>
                <w:color w:val="auto"/>
              </w:rPr>
            </w:pPr>
            <w:r>
              <w:rPr>
                <w:rFonts w:ascii="Arial" w:cs="Arial" w:eastAsia="Arial" w:hAnsi="Arial"/>
                <w:sz w:val="18"/>
                <w:szCs w:val="18"/>
                <w:color w:val="auto"/>
              </w:rPr>
              <w:t>35,709</w:t>
            </w: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&gt;8.0%</w:t>
            </w:r>
          </w:p>
        </w:tc>
        <w:tc>
          <w:tcPr>
            <w:tcW w:w="1580" w:type="dxa"/>
            <w:vAlign w:val="bottom"/>
            <w:shd w:val="clear" w:color="auto" w:fill="CCEEFF"/>
          </w:tcPr>
          <w:p>
            <w:pPr>
              <w:jc w:val="right"/>
              <w:ind w:right="810"/>
              <w:spacing w:after="0" w:line="176" w:lineRule="exact"/>
              <w:rPr>
                <w:sz w:val="20"/>
                <w:szCs w:val="20"/>
                <w:color w:val="auto"/>
              </w:rPr>
            </w:pPr>
            <w:r>
              <w:rPr>
                <w:rFonts w:ascii="Arial" w:cs="Arial" w:eastAsia="Arial" w:hAnsi="Arial"/>
                <w:sz w:val="18"/>
                <w:szCs w:val="18"/>
                <w:color w:val="auto"/>
              </w:rPr>
              <w:t>44,637</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w w:val="87"/>
              </w:rPr>
              <w:t>&gt;10.0%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9"/>
              </w:rPr>
              <w:t>Tier 1 capital to risk weighted assets:</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1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27.29%</w:t>
            </w:r>
          </w:p>
        </w:tc>
        <w:tc>
          <w:tcPr>
            <w:tcW w:w="360" w:type="dxa"/>
            <w:vAlign w:val="bottom"/>
          </w:tcPr>
          <w:p>
            <w:pPr>
              <w:spacing w:after="0"/>
              <w:rPr>
                <w:sz w:val="15"/>
                <w:szCs w:val="15"/>
                <w:color w:val="auto"/>
              </w:rPr>
            </w:pPr>
          </w:p>
        </w:tc>
        <w:tc>
          <w:tcPr>
            <w:tcW w:w="1640" w:type="dxa"/>
            <w:vAlign w:val="bottom"/>
          </w:tcPr>
          <w:p>
            <w:pPr>
              <w:jc w:val="right"/>
              <w:ind w:right="890"/>
              <w:spacing w:after="0" w:line="176" w:lineRule="exact"/>
              <w:rPr>
                <w:sz w:val="20"/>
                <w:szCs w:val="20"/>
                <w:color w:val="auto"/>
              </w:rPr>
            </w:pPr>
            <w:r>
              <w:rPr>
                <w:rFonts w:ascii="Arial" w:cs="Arial" w:eastAsia="Arial" w:hAnsi="Arial"/>
                <w:sz w:val="18"/>
                <w:szCs w:val="18"/>
                <w:color w:val="auto"/>
              </w:rPr>
              <w:t>17,760</w:t>
            </w:r>
          </w:p>
        </w:tc>
        <w:tc>
          <w:tcPr>
            <w:tcW w:w="94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810"/>
              <w:spacing w:after="0" w:line="176"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1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21.39%</w:t>
            </w:r>
          </w:p>
        </w:tc>
        <w:tc>
          <w:tcPr>
            <w:tcW w:w="36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90"/>
              <w:spacing w:after="0" w:line="176" w:lineRule="exact"/>
              <w:rPr>
                <w:sz w:val="20"/>
                <w:szCs w:val="20"/>
                <w:color w:val="auto"/>
              </w:rPr>
            </w:pPr>
            <w:r>
              <w:rPr>
                <w:rFonts w:ascii="Arial" w:cs="Arial" w:eastAsia="Arial" w:hAnsi="Arial"/>
                <w:sz w:val="18"/>
                <w:szCs w:val="18"/>
                <w:color w:val="auto"/>
              </w:rPr>
              <w:t>17,855</w:t>
            </w: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810"/>
              <w:spacing w:after="0" w:line="176" w:lineRule="exact"/>
              <w:rPr>
                <w:sz w:val="20"/>
                <w:szCs w:val="20"/>
                <w:color w:val="auto"/>
              </w:rPr>
            </w:pPr>
            <w:r>
              <w:rPr>
                <w:rFonts w:ascii="Arial" w:cs="Arial" w:eastAsia="Arial" w:hAnsi="Arial"/>
                <w:sz w:val="18"/>
                <w:szCs w:val="18"/>
                <w:color w:val="auto"/>
              </w:rPr>
              <w:t>26,782</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121,148</w:t>
            </w:r>
          </w:p>
        </w:tc>
        <w:tc>
          <w:tcPr>
            <w:tcW w:w="11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17.78%</w:t>
            </w:r>
          </w:p>
        </w:tc>
        <w:tc>
          <w:tcPr>
            <w:tcW w:w="360" w:type="dxa"/>
            <w:vAlign w:val="bottom"/>
          </w:tcPr>
          <w:p>
            <w:pPr>
              <w:spacing w:after="0"/>
              <w:rPr>
                <w:sz w:val="15"/>
                <w:szCs w:val="15"/>
                <w:color w:val="auto"/>
              </w:rPr>
            </w:pPr>
          </w:p>
        </w:tc>
        <w:tc>
          <w:tcPr>
            <w:tcW w:w="1640" w:type="dxa"/>
            <w:vAlign w:val="bottom"/>
          </w:tcPr>
          <w:p>
            <w:pPr>
              <w:jc w:val="right"/>
              <w:ind w:right="890"/>
              <w:spacing w:after="0" w:line="176" w:lineRule="exact"/>
              <w:rPr>
                <w:sz w:val="20"/>
                <w:szCs w:val="20"/>
                <w:color w:val="auto"/>
              </w:rPr>
            </w:pPr>
            <w:r>
              <w:rPr>
                <w:rFonts w:ascii="Arial" w:cs="Arial" w:eastAsia="Arial" w:hAnsi="Arial"/>
                <w:sz w:val="18"/>
                <w:szCs w:val="18"/>
                <w:color w:val="auto"/>
              </w:rPr>
              <w:t>27,255</w:t>
            </w:r>
          </w:p>
        </w:tc>
        <w:tc>
          <w:tcPr>
            <w:tcW w:w="940" w:type="dxa"/>
            <w:vAlign w:val="bottom"/>
            <w:gridSpan w:val="2"/>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tcPr>
          <w:p>
            <w:pPr>
              <w:jc w:val="right"/>
              <w:ind w:right="810"/>
              <w:spacing w:after="0" w:line="176"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5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50"/>
              <w:spacing w:after="0" w:line="176" w:lineRule="exact"/>
              <w:rPr>
                <w:sz w:val="20"/>
                <w:szCs w:val="20"/>
                <w:color w:val="auto"/>
              </w:rPr>
            </w:pPr>
            <w:r>
              <w:rPr>
                <w:rFonts w:ascii="Arial" w:cs="Arial" w:eastAsia="Arial" w:hAnsi="Arial"/>
                <w:sz w:val="18"/>
                <w:szCs w:val="18"/>
                <w:color w:val="auto"/>
              </w:rPr>
              <w:t>95,485</w:t>
            </w:r>
          </w:p>
        </w:tc>
        <w:tc>
          <w:tcPr>
            <w:tcW w:w="11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14.08%</w:t>
            </w:r>
          </w:p>
        </w:tc>
        <w:tc>
          <w:tcPr>
            <w:tcW w:w="3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890"/>
              <w:spacing w:after="0" w:line="176" w:lineRule="exact"/>
              <w:rPr>
                <w:sz w:val="20"/>
                <w:szCs w:val="20"/>
                <w:color w:val="auto"/>
              </w:rPr>
            </w:pPr>
            <w:r>
              <w:rPr>
                <w:rFonts w:ascii="Arial" w:cs="Arial" w:eastAsia="Arial" w:hAnsi="Arial"/>
                <w:sz w:val="18"/>
                <w:szCs w:val="18"/>
                <w:color w:val="auto"/>
              </w:rPr>
              <w:t>27,121</w:t>
            </w: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580" w:type="dxa"/>
            <w:vAlign w:val="bottom"/>
            <w:shd w:val="clear" w:color="auto" w:fill="CCEEFF"/>
          </w:tcPr>
          <w:p>
            <w:pPr>
              <w:jc w:val="right"/>
              <w:ind w:right="810"/>
              <w:spacing w:after="0" w:line="176" w:lineRule="exact"/>
              <w:rPr>
                <w:sz w:val="20"/>
                <w:szCs w:val="20"/>
                <w:color w:val="auto"/>
              </w:rPr>
            </w:pPr>
            <w:r>
              <w:rPr>
                <w:rFonts w:ascii="Arial" w:cs="Arial" w:eastAsia="Arial" w:hAnsi="Arial"/>
                <w:sz w:val="18"/>
                <w:szCs w:val="18"/>
                <w:color w:val="auto"/>
              </w:rPr>
              <w:t>33,902</w:t>
            </w:r>
          </w:p>
        </w:tc>
        <w:tc>
          <w:tcPr>
            <w:tcW w:w="58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Net income decreased by $1.2 million to $437 thousand for the quarter ended March 31, 2014, compared to $1.6 million for the quarter ended March 31, 2013. Net income decreased by $1.9 million to $2.2 million for the nine months ended March 31, 2014, compared to $4.0 million for the nine months ended March 31, 2013. When compared to the prior year, decreases in net income for both the three and nine months ended March 31, 2014 resulted principally from lower transactional income on purchased loans and lower gains on sales of residential mortgages. Further, in the nine months ended March 31, 2013, the Company recognized $792 thousand on the sale of investment securities; there were no such sales in the nine months ended March 31, 2014.</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$689 thousand for the quarter ended March 31, 2014, a decrease of $3.4 million from the quarter ended March 31, 2013. Transactional income for the nine months ended March 31, 2014 was $3.7 million, a decrease of $4.1 million from the nine months ended March 31, 2013, principally due to lower than average purchased loan payoffs and sales in first and third quarters of fiscal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2"/>
              </w:rPr>
              <w:t>Total Return on Purchased Loans</w:t>
            </w: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Three Months Ended March 31,</w:t>
            </w:r>
          </w:p>
        </w:tc>
        <w:tc>
          <w:tcPr>
            <w:tcW w:w="1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Income</w:t>
            </w:r>
          </w:p>
        </w:tc>
        <w:tc>
          <w:tcPr>
            <w:tcW w:w="9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Return (1)</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Income</w:t>
            </w:r>
          </w:p>
        </w:tc>
        <w:tc>
          <w:tcPr>
            <w:tcW w:w="12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7"/>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3,880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3,043</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284</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2,653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r>
      <w:tr>
        <w:trPr>
          <w:trHeight w:val="210"/>
        </w:trPr>
        <w:tc>
          <w:tcPr>
            <w:tcW w:w="3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w:t>
            </w:r>
          </w:p>
        </w:tc>
      </w:tr>
      <w:tr>
        <w:trPr>
          <w:trHeight w:val="210"/>
        </w:trPr>
        <w:tc>
          <w:tcPr>
            <w:tcW w:w="366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3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7,125</w:t>
            </w:r>
          </w:p>
        </w:tc>
        <w:tc>
          <w:tcPr>
            <w:tcW w:w="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22.02%</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3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4"/>
              </w:rPr>
              <w:t>Nine Months Ended March 31,</w:t>
            </w:r>
          </w:p>
        </w:tc>
        <w:tc>
          <w:tcPr>
            <w:tcW w:w="1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9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Income</w:t>
            </w:r>
          </w:p>
        </w:tc>
        <w:tc>
          <w:tcPr>
            <w:tcW w:w="96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Return (1)</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Income</w:t>
            </w:r>
          </w:p>
        </w:tc>
        <w:tc>
          <w:tcPr>
            <w:tcW w:w="12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Return (1)</w:t>
            </w:r>
          </w:p>
        </w:tc>
        <w:tc>
          <w:tcPr>
            <w:tcW w:w="160" w:type="dxa"/>
            <w:vAlign w:val="bottom"/>
          </w:tcPr>
          <w:p>
            <w:pPr>
              <w:spacing w:after="0"/>
              <w:rPr>
                <w:sz w:val="12"/>
                <w:szCs w:val="12"/>
                <w:color w:val="auto"/>
              </w:rPr>
            </w:pPr>
          </w:p>
        </w:tc>
      </w:tr>
      <w:tr>
        <w:trPr>
          <w:trHeight w:val="142"/>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7"/>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Transactional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loan sales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Gain on sale of real estate owned</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0.82%</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noninterest income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Accelerated accretion and loan fees</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3,079</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r>
      <w:tr>
        <w:trPr>
          <w:trHeight w:val="210"/>
        </w:trPr>
        <w:tc>
          <w:tcPr>
            <w:tcW w:w="3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transactional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r>
      <w:tr>
        <w:trPr>
          <w:trHeight w:val="210"/>
        </w:trPr>
        <w:tc>
          <w:tcPr>
            <w:tcW w:w="3660" w:type="dxa"/>
            <w:vAlign w:val="bottom"/>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w:t>
            </w:r>
          </w:p>
        </w:tc>
        <w:tc>
          <w:tcPr>
            <w:tcW w:w="3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11.60%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18.66%</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ectPr>
          <w:pgSz w:w="11900" w:h="16838" w:orient="portrait"/>
          <w:cols w:equalWidth="0" w:num="1">
            <w:col w:w="11420"/>
          </w:cols>
          <w:pgMar w:left="240" w:top="108"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interest income before provision for loan losses decreased by $1.1 million, or 13.8%, to $7.1 million for the quarter ended March 31, 2014 compared to the quarter ended March 31, 2013, primarily due to lower transactional interest income from purchased loan payoffs. When compared to the quarter ended March 31, 2013, transactional interest income decreased nearly $2.4 million, having a 136 basis point effect on the net interest margin, which declined to 4.08% from 5.07%. The following table summarizes interest income and related yields recognized on the loan portfolios.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9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0"/>
                <w:szCs w:val="10"/>
                <w:color w:val="auto"/>
              </w:rPr>
            </w:pP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Yield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8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LASG:</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 — traditional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57,534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color w:val="auto"/>
              </w:rPr>
              <w:t>Originated — securities loans</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25,992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177,559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LASG</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261,085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8.11%</w:t>
            </w: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16.84%</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511,047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390,609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8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the quarter ended March 31, 2014, net interest income was negatively affected by a lower level of noncash accretion of fair value adjustments resulting from the 2010 merger than in the quarter ended March 31, 2013.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6"/>
              </w:rPr>
              <w:t>Income</w:t>
            </w:r>
          </w:p>
        </w:tc>
        <w:tc>
          <w:tcPr>
            <w:tcW w:w="108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Effect on</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Income</w:t>
            </w:r>
          </w:p>
        </w:tc>
        <w:tc>
          <w:tcPr>
            <w:tcW w:w="106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Effect on</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(Expense)</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Yield / Rate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(Expense)</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 /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131,006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508,917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interest rate spread and net interest margin decreased by 95 basis points and 99 basis points, respectively, for the quarter ended March 31, 2014 compared to the quarter ended March 31, 2013. These decreases were principally the result of the aforementioned decreases in transactional income in the purchased loan portfolio. The following sets forth the average balance sheets, interest income and interest expense, and average yields and costs for the three months ended March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0"/>
                <w:szCs w:val="10"/>
                <w:color w:val="auto"/>
              </w:rPr>
            </w:pPr>
          </w:p>
        </w:tc>
        <w:tc>
          <w:tcPr>
            <w:tcW w:w="8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140" w:type="dxa"/>
            <w:vAlign w:val="bottom"/>
          </w:tcPr>
          <w:p>
            <w:pPr>
              <w:jc w:val="center"/>
              <w:ind w:left="120"/>
              <w:spacing w:after="0" w:line="119"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Yield/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114,925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Loans (1) (2)</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511,047</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8,403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390,609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9,601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stock</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Short-term investments (3)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75,506</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133,025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707,199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4"/>
              </w:rPr>
              <w:t>9,920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37,366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747,398</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699,909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Liabilities &amp;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5767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57670" cy="3619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9" w:name="page30"/>
    <w:bookmarkEnd w:id="29"/>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5767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61,028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55,068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87,352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3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32,464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325,505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297,555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935</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508,917</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59,399</w:t>
            </w:r>
          </w:p>
        </w:tc>
        <w:tc>
          <w:tcPr>
            <w:tcW w:w="3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437</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8,374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4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578,882</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48,361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5,920</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633,163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114,235</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115,556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7,112</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interest margin (4)</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gridSpan w:val="10"/>
          </w:tcPr>
          <w:p>
            <w:pPr>
              <w:jc w:val="right"/>
              <w:ind w:right="1060"/>
              <w:spacing w:after="0"/>
              <w:rPr>
                <w:sz w:val="20"/>
                <w:szCs w:val="20"/>
                <w:color w:val="auto"/>
              </w:rPr>
            </w:pPr>
            <w:r>
              <w:rPr>
                <w:rFonts w:ascii="Arial" w:cs="Arial" w:eastAsia="Arial" w:hAnsi="Arial"/>
                <w:sz w:val="14"/>
                <w:szCs w:val="14"/>
                <w:b w:val="1"/>
                <w:bCs w:val="1"/>
                <w:color w:val="auto"/>
              </w:rPr>
              <w:t>Three Months Ended March 31, 2014 compared to 2013</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Change Due to Volume</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Change Due to Rate</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Total Change</w:t>
            </w: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2014 and 2013</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interest income before provision for the nine months ended March 31, 2014 and 2013 was $23.2 million and $21.4 million, respectively. The increase of $1.8 million was largely attributable to growth in the LASG loan portfolio, which earned a yield of 9.55% for the nine months ended March 31, 2014 on an average outstanding balance of $241.7 million. The following table summarizes interest income and related yields recognized on the Company’s loans for the nine months ended March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Nine Months Ended March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8"/>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Interest</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92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246,539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LASG: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 — traditional</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Originated — securities loans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14,711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LASG</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241,652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9.55%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123,125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13,760</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380,885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bl>
    <w:p>
      <w:pPr>
        <w:sectPr>
          <w:pgSz w:w="11900" w:h="16897" w:orient="portrait"/>
          <w:cols w:equalWidth="0" w:num="1">
            <w:col w:w="11460"/>
          </w:cols>
          <w:pgMar w:left="240" w:top="125" w:right="199" w:bottom="0" w:gutter="0" w:footer="0" w:header="0"/>
        </w:sectPr>
      </w:pPr>
    </w:p>
    <w:bookmarkStart w:id="30" w:name="page31"/>
    <w:bookmarkEnd w:id="3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4445635</wp:posOffset>
            </wp:positionH>
            <wp:positionV relativeFrom="page">
              <wp:posOffset>88900</wp:posOffset>
            </wp:positionV>
            <wp:extent cx="1209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page">
              <wp:posOffset>2061210</wp:posOffset>
            </wp:positionH>
            <wp:positionV relativeFrom="page">
              <wp:posOffset>88900</wp:posOffset>
            </wp:positionV>
            <wp:extent cx="16205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ind w:right="60"/>
        <w:spacing w:after="0" w:line="264" w:lineRule="auto"/>
        <w:rPr>
          <w:sz w:val="20"/>
          <w:szCs w:val="20"/>
          <w:color w:val="auto"/>
        </w:rPr>
      </w:pPr>
      <w:r>
        <w:rPr>
          <w:rFonts w:ascii="Arial" w:cs="Arial" w:eastAsia="Arial" w:hAnsi="Arial"/>
          <w:sz w:val="18"/>
          <w:szCs w:val="18"/>
          <w:color w:val="auto"/>
        </w:rPr>
        <w:t>In the nine months ended March 31, 2014, net interest income was negatively affected by a lower level of noncash accretion of fair value adjustments resulting from the 2010 merger than in the nine months ended March 31, 2013.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Nine Months Ended March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Income</w:t>
            </w:r>
          </w:p>
        </w:tc>
        <w:tc>
          <w:tcPr>
            <w:tcW w:w="114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Effect 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0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Income</w:t>
            </w:r>
          </w:p>
        </w:tc>
        <w:tc>
          <w:tcPr>
            <w:tcW w:w="108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Effect on</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(Expense)</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Yield / Rate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(Expense)</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Yield / Rate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117,053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132,835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488,191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380,885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136,437</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486,707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427,125</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758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81,183</w:t>
            </w: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999</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517,869</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3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effect of noncash accretion on:</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2,197</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796"/>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interest rate spread and net interest margin increased by 15 basis points and 11 basis points, respectively, for the nine months ended March 31, 2014 compared to the nine months ended March 31, 2013. These increases were principally the result of the aforementioned increase in loan volume. The following sets forth the average balance sheets, interest income and interest expense, and average yields and costs for the nine months ended March 31, 2014 and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Nine Months Ended March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080" w:type="dxa"/>
            <w:vAlign w:val="bottom"/>
          </w:tcPr>
          <w:p>
            <w:pPr>
              <w:jc w:val="center"/>
              <w:ind w:left="75"/>
              <w:spacing w:after="0" w:line="119" w:lineRule="exact"/>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Income/</w:t>
            </w: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Yield/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 (1) (2)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488,191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27,142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380,885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25,209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Short-term investments (3)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77,334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650,157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727,129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59,703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0.27%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55,468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34,160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0.83%</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1,323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117,125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interest income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23,234</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interest margin (4)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55" w:right="199" w:bottom="0" w:gutter="0" w:footer="0" w:header="0"/>
        </w:sectPr>
      </w:pPr>
    </w:p>
    <w:bookmarkStart w:id="31" w:name="page32"/>
    <w:bookmarkEnd w:id="31"/>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75767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5767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Includes loans held for sale.</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0" w:type="dxa"/>
            <w:vAlign w:val="bottom"/>
            <w:gridSpan w:val="10"/>
          </w:tcPr>
          <w:p>
            <w:pPr>
              <w:jc w:val="right"/>
              <w:ind w:right="1180"/>
              <w:spacing w:after="0"/>
              <w:rPr>
                <w:sz w:val="20"/>
                <w:szCs w:val="20"/>
                <w:color w:val="auto"/>
              </w:rPr>
            </w:pPr>
            <w:r>
              <w:rPr>
                <w:rFonts w:ascii="Arial" w:cs="Arial" w:eastAsia="Arial" w:hAnsi="Arial"/>
                <w:sz w:val="14"/>
                <w:szCs w:val="14"/>
                <w:b w:val="1"/>
                <w:bCs w:val="1"/>
                <w:color w:val="auto"/>
              </w:rPr>
              <w:t>Nine Months Ended March 31, 2014 compared to 2013</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Change Due to Volume</w:t>
            </w: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Change Due to Rate</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Total Change</w:t>
            </w: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Regulatory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Total interest-earning assets</w:t>
            </w: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Borrowed funds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Junior subordinated debentures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Total change in net interest income</w:t>
            </w:r>
          </w:p>
        </w:tc>
        <w:tc>
          <w:tcPr>
            <w:tcW w:w="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adequate to provide for losses inherent in the Company’s loan portfolios, with the provision for loan losses determined by the net change in the allowance for loan losses. For loans acquired with deteriorated credit quality, a provision for loan losses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provision for loan losses for the quarter ended March 31, 2014 and 2013 was $180 thousand and $346 thousand, respectively. The decrease in the Company’s loan loss provision resulted principally from favorable charge-off trends in the originated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2014 and 2013</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provision for loan losses for the nine months ended March 31, 2014 and 2013 was $407 thousand and $821 thousand, respectively. The decrease in the Company’s loan loss provision resulted from favorable charge-off trends in the originated loan portfolio. Net charge-offs for the nine months ended March 31, 2014 decreased by $405 thousand from the nine months ended March 31, 2013, principally due to the partial charge-off of one commercial business loan relationship in the first quarter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Noninterest income decreased by $1.3 million for the quarter ended March 31, 2014, compared to the quarter ended March 31, 2013, principally due to the following:</w:t>
      </w:r>
    </w:p>
    <w:p>
      <w:pPr>
        <w:spacing w:after="0" w:line="170" w:lineRule="exact"/>
        <w:rPr>
          <w:sz w:val="20"/>
          <w:szCs w:val="20"/>
          <w:color w:val="auto"/>
        </w:rPr>
      </w:pPr>
    </w:p>
    <w:p>
      <w:pPr>
        <w:ind w:left="1300" w:right="420" w:hanging="320"/>
        <w:spacing w:after="0" w:line="258"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$855 thousand in gain on sales of portfolio loans, due to a lower volume of purchased loan sales during the quarter ended March 31, 2014.</w:t>
      </w:r>
    </w:p>
    <w:p>
      <w:pPr>
        <w:spacing w:after="0" w:line="1"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$360 thousand in gain on sales of loans held for sale, principally a volume-related difference related to a significant decline in residential loan refinance activity. The Company sold $15.3 million of residential loans in the quarter ended March 31, 2014, compared to $33.3 million in the quarter ended March 31, 2013.</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$65 thousand in net gains on the disposition of other real estate owned.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$45 thousand in fee income, primarily due to a decrease in transactional deposit account activity.</w:t>
      </w:r>
    </w:p>
    <w:p>
      <w:pPr>
        <w:sectPr>
          <w:pgSz w:w="11900" w:h="16838" w:orient="portrait"/>
          <w:cols w:equalWidth="0" w:num="1">
            <w:col w:w="11460"/>
          </w:cols>
          <w:pgMar w:left="240" w:top="787" w:right="199" w:bottom="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Nine Months Ended March 31, 2014 and 2013</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Noninterest income decreased by $4.4 million for the nine months ended March 31, 2014, compared to the nine months ended March 31, 2013, principally due to the following:</w:t>
      </w:r>
    </w:p>
    <w:p>
      <w:pPr>
        <w:spacing w:after="0" w:line="170" w:lineRule="exact"/>
        <w:rPr>
          <w:sz w:val="20"/>
          <w:szCs w:val="20"/>
          <w:color w:val="auto"/>
        </w:rPr>
      </w:pPr>
    </w:p>
    <w:p>
      <w:pPr>
        <w:ind w:left="1300" w:hanging="314"/>
        <w:spacing w:after="0" w:line="256"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$792 thousand in security gains. In the first quarter of fiscal 2013, the Company sold a substantial portion of its available-for-sale investment portfolio and reinvested the sales proceeds in similar securities at lower market yields. There were no security sales in the nine months ended March 31, 2014.</w:t>
      </w:r>
    </w:p>
    <w:p>
      <w:pPr>
        <w:ind w:left="1300" w:right="180" w:hanging="314"/>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$1.2 million on sales of held for sale loans, a volume related difference resulting from an increased proportion of residential mortgages held in portfolio and a significant decline in residential loan refinance activity.</w:t>
      </w:r>
    </w:p>
    <w:p>
      <w:pPr>
        <w:ind w:left="1300" w:right="440" w:hanging="314"/>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$1.6 million in gains on sales of portfolio loans, principally due to lower volume of purchased loan sales during the nine months ended March 31, 2014.</w:t>
      </w:r>
    </w:p>
    <w:p>
      <w:pPr>
        <w:ind w:left="1300" w:right="360" w:hanging="314"/>
        <w:spacing w:after="0" w:line="250"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$631 thousand in gains on real estate owned, principally due to the favorable resolution of real estate previously securing purchased loans during the nine months ended March 31, 2013.</w:t>
      </w:r>
    </w:p>
    <w:p>
      <w:pPr>
        <w:ind w:left="1300" w:right="520" w:hanging="314"/>
        <w:spacing w:after="0" w:line="261"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of $257 thousand in bank-owned life insurance income. In the second quarter of fiscal 2013, the Company received $235 thousand in life insurance death benefits.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Noninterest expense decreased by $612 thousand for the current quarter, compared to the quarter ended March 31, 2013. Changes of significance when comparing the current quarter to the quarter ended March 31, 2013 are:</w:t>
      </w:r>
    </w:p>
    <w:p>
      <w:pPr>
        <w:spacing w:after="0" w:line="170" w:lineRule="exact"/>
        <w:rPr>
          <w:sz w:val="20"/>
          <w:szCs w:val="20"/>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$928 thousand in salaries and employee benefits, principally related to a decline in incentive compensation.</w:t>
      </w:r>
    </w:p>
    <w:p>
      <w:pPr>
        <w:spacing w:after="0" w:line="23" w:lineRule="exact"/>
        <w:rPr>
          <w:rFonts w:ascii="Arial" w:cs="Arial" w:eastAsia="Arial" w:hAnsi="Arial"/>
          <w:sz w:val="18"/>
          <w:szCs w:val="18"/>
          <w:color w:val="auto"/>
        </w:rPr>
      </w:pPr>
    </w:p>
    <w:p>
      <w:pPr>
        <w:ind w:left="1300" w:right="16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$232 thousand in occupancy and equipment expense, due to increased rent and utilities expense, depreciation, and software expenses.</w:t>
      </w: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$163 thousand in marketing expense, primarily due to a reduction in deposit marketing in fiscal 2014.</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$88 thousand in loan acquisition and collection expenses due, in part, to an increase of $5.0 million in loan purchases in the quarter ended March 31, 2014 when compared to the quarter ended March 31, 2013.</w:t>
      </w:r>
    </w:p>
    <w:p>
      <w:pPr>
        <w:ind w:left="1300" w:right="460" w:hanging="320"/>
        <w:spacing w:after="0" w:line="261"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$204 thousand in other noninterest expense, principally due to non-capital expenditures associated with the Company’s upcoming core banking software system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2014 and 2013</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Noninterest expense increased by $494 thousand for the nine months ended March 31, 2014 compared to the nine months ended March 31, 2013. Changes of significance when comparing the nine months ended March 31, 2014 to the nine months ended March 31, 2013 are:</w:t>
      </w:r>
    </w:p>
    <w:p>
      <w:pPr>
        <w:spacing w:after="0" w:line="170" w:lineRule="exact"/>
        <w:rPr>
          <w:sz w:val="20"/>
          <w:szCs w:val="20"/>
          <w:color w:val="auto"/>
        </w:rPr>
      </w:pPr>
    </w:p>
    <w:p>
      <w:pPr>
        <w:ind w:left="1300" w:right="360" w:hanging="320"/>
        <w:spacing w:after="0" w:line="258"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$454 thousand in salaries and employee benefits, principally due to increased costs associated with severance, employee benefits, and stock-based compensation.</w:t>
      </w:r>
    </w:p>
    <w:p>
      <w:pPr>
        <w:spacing w:after="0" w:line="1" w:lineRule="exact"/>
        <w:rPr>
          <w:rFonts w:ascii="Arial" w:cs="Arial" w:eastAsia="Arial" w:hAnsi="Arial"/>
          <w:sz w:val="18"/>
          <w:szCs w:val="18"/>
          <w:color w:val="auto"/>
        </w:rPr>
      </w:pPr>
    </w:p>
    <w:p>
      <w:pPr>
        <w:ind w:left="1300" w:right="180" w:hanging="320"/>
        <w:spacing w:after="0" w:line="250"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$734 thousand in occupancy and equipment expense, primarily due to the relocation of the Company’s Boston office in the second quarter of fiscal 2013 as well as increased utilities, depreciation, and software expenses.</w:t>
      </w: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$453 thousand in marketing expense, primarily due to a reduction in deposit marketing in fiscal 2014.</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decrease of $153 thousand in intangible asset amortization. The Company’s core deposit intangible amortizes on an accelerated basis.</w:t>
      </w:r>
    </w:p>
    <w:p>
      <w:pPr>
        <w:spacing w:after="0" w:line="32" w:lineRule="exact"/>
        <w:rPr>
          <w:rFonts w:ascii="Arial" w:cs="Arial" w:eastAsia="Arial" w:hAnsi="Arial"/>
          <w:sz w:val="16"/>
          <w:szCs w:val="16"/>
          <w:color w:val="auto"/>
        </w:rPr>
      </w:pPr>
    </w:p>
    <w:p>
      <w:pPr>
        <w:ind w:left="1260" w:hanging="28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legal settlement recovery of $250 thousand recognized in the nine months ended March 31, 2014.</w:t>
      </w:r>
    </w:p>
    <w:p>
      <w:pPr>
        <w:spacing w:after="0" w:line="9" w:lineRule="exact"/>
        <w:rPr>
          <w:rFonts w:ascii="Arial" w:cs="Arial" w:eastAsia="Arial" w:hAnsi="Arial"/>
          <w:sz w:val="18"/>
          <w:szCs w:val="18"/>
          <w:color w:val="auto"/>
        </w:rPr>
      </w:pPr>
    </w:p>
    <w:p>
      <w:pPr>
        <w:ind w:left="1300" w:right="100" w:hanging="320"/>
        <w:spacing w:after="0" w:line="261"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$250 thousand in other noninterest expense, principally due to non-capital expenditures associated with the Company’s core banking software system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2014 and 2013</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Company’s income tax expense was $287 thousand, or an effective rate of 39.6%, for the quarter ended March 31, 2014. The Company’s income tax expense was $792 thousand, or an effective rate of 32.7%, for the quarter ended March 31, 2013. The Company’s effective income tax rate may vary in any one quarter due to fluctuations in its projected pre-tax income and permanent book to tax differences for the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2014 and 2013</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income tax expense was $1.1 million, or an effective rate of 34.1%, for the nine months ended March 31, 2014, as compared to $1.9 million, or an effective rate of 32.1%, for the nine months ended March 31, 2013. The increased effective income tax rate in the nine months ended March 31, 2014 principally resulted from higher statutory rates resulting from expected state tax apportionment.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concluded all investment brokerage activities in the second quarter of fiscal 2014. Accordingly, operations associated with these activities have been classified as discontinued operations.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earned net income from discontinued operations of $36 thousand in the quarter ended March 31, 2013, compared to none in the quarter ended March 31, 2014. The Company reported a net loss from discontinued operations of $8 thousand for the nine months ended March 31, 2014, compared to net income of $166 thousand in the nine months ended March 31, 2013.</w:t>
      </w:r>
    </w:p>
    <w:p>
      <w:pPr>
        <w:sectPr>
          <w:pgSz w:w="11900" w:h="16838" w:orient="portrait"/>
          <w:cols w:equalWidth="0" w:num="1">
            <w:col w:w="11400"/>
          </w:cols>
          <w:pgMar w:left="240" w:top="125" w:right="259" w:bottom="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2014.</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March 31, 2014 that have materially affected, or is reasonably likely to materially affect, the Company’s internal controls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00" w:type="dxa"/>
            <w:vAlign w:val="bottom"/>
            <w:gridSpan w:val="2"/>
          </w:tcPr>
          <w:p>
            <w:pPr>
              <w:jc w:val="center"/>
              <w:ind w:right="200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Legal Proceedings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Risk Factors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540" w:type="dxa"/>
            <w:vAlign w:val="bottom"/>
            <w:gridSpan w:val="5"/>
          </w:tcPr>
          <w:p>
            <w:pPr>
              <w:ind w:left="60"/>
              <w:spacing w:after="0"/>
              <w:rPr>
                <w:sz w:val="20"/>
                <w:szCs w:val="20"/>
                <w:color w:val="auto"/>
              </w:rPr>
            </w:pPr>
            <w:r>
              <w:rPr>
                <w:rFonts w:ascii="Arial" w:cs="Arial" w:eastAsia="Arial" w:hAnsi="Arial"/>
                <w:sz w:val="18"/>
                <w:szCs w:val="18"/>
                <w:color w:val="auto"/>
              </w:rPr>
              <w:t>Not required for smaller reporting companies.</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540" w:type="dxa"/>
            <w:vAlign w:val="bottom"/>
            <w:gridSpan w:val="5"/>
          </w:tcPr>
          <w:p>
            <w:pPr>
              <w:ind w:left="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540" w:type="dxa"/>
            <w:vAlign w:val="bottom"/>
            <w:gridSpan w:val="5"/>
          </w:tcPr>
          <w:p>
            <w:pPr>
              <w:ind w:left="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Exhibits</w:t>
            </w:r>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80" w:type="dxa"/>
            <w:vAlign w:val="bottom"/>
            <w:gridSpan w:val="2"/>
          </w:tcPr>
          <w:p>
            <w:pPr>
              <w:jc w:val="right"/>
              <w:ind w:right="5416"/>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gridSpan w:val="2"/>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7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ind w:left="660"/>
              <w:spacing w:after="0"/>
              <w:rPr>
                <w:sz w:val="20"/>
                <w:szCs w:val="20"/>
                <w:color w:val="auto"/>
              </w:rPr>
            </w:pPr>
            <w:r>
              <w:rPr>
                <w:rFonts w:ascii="Arial" w:cs="Arial" w:eastAsia="Arial" w:hAnsi="Arial"/>
                <w:sz w:val="14"/>
                <w:szCs w:val="14"/>
                <w:b w:val="1"/>
                <w:bCs w:val="1"/>
                <w:color w:val="auto"/>
              </w:rPr>
              <w:t>Exhibits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00" w:type="dxa"/>
            <w:vAlign w:val="bottom"/>
            <w:gridSpan w:val="2"/>
            <w:vMerge w:val="restart"/>
          </w:tcPr>
          <w:p>
            <w:pPr>
              <w:ind w:left="4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66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ind w:left="120"/>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9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Certification of the Chief Executive Officer pursuant to Section 302 of the Sarbanes-Oxley Act of 2002 (Rule 13a-14(a)). *</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31.2</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9"/>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32.1</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w w:val="99"/>
              </w:rPr>
              <w:t>Certificate of the Chief Executive Officer Pursuant to 18 U.S.C. Section 1350, as adopted pursuant to Section 906 of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32.2</w:t>
            </w: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Certificate of the Chief Financial Officer Pursuant to 18 U.S.C. Section 1350, as adopted pursuant to Section 906 of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200" w:hanging="905"/>
        <w:spacing w:after="0" w:line="295" w:lineRule="auto"/>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March 31, 2014 formatted in XBRL: (i) Consolidated Balance Sheets at March 31, 2014 and June 30, 2013; (ii) Consolidated Statements of Income for the three and nine months ended March 31, 2014 and 2013; (iii) Consolidated Statements of Comprehensive Income for the three and nine months ended March 31, 2014 and 2013; (iv) Consolidated Statements of Changes in Shareholders’ Equity</w:t>
      </w:r>
    </w:p>
    <w:p>
      <w:pPr>
        <w:sectPr>
          <w:pgSz w:w="11900" w:h="16838" w:orient="portrait"/>
          <w:cols w:equalWidth="0" w:num="1">
            <w:col w:w="11460"/>
          </w:cols>
          <w:pgMar w:left="240" w:top="125" w:right="199" w:bottom="0" w:gutter="0" w:footer="0" w:header="0"/>
        </w:sectPr>
      </w:pPr>
    </w:p>
    <w:bookmarkStart w:id="34" w:name="page35"/>
    <w:bookmarkEnd w:id="34"/>
    <w:p>
      <w:pPr>
        <w:ind w:left="1960" w:right="580"/>
        <w:spacing w:after="0" w:line="277" w:lineRule="auto"/>
        <w:rPr>
          <w:sz w:val="20"/>
          <w:szCs w:val="20"/>
          <w:color w:val="auto"/>
        </w:rPr>
      </w:pPr>
      <w:r>
        <w:rPr>
          <w:rFonts w:ascii="Arial" w:cs="Arial" w:eastAsia="Arial" w:hAnsi="Arial"/>
          <w:sz w:val="18"/>
          <w:szCs w:val="18"/>
          <w:color w:val="auto"/>
        </w:rPr>
        <w:t>for the nine months ended March 31, 2014 and 2013; (v) Consolidated Statements of Cash Flows for the nine months ended March 31, 2014 and 2013; and (v) Notes to Unaudited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gridSpan w:val="3"/>
          </w:tcPr>
          <w:p>
            <w:pPr>
              <w:spacing w:after="0"/>
              <w:rPr>
                <w:sz w:val="20"/>
                <w:szCs w:val="20"/>
                <w:color w:val="auto"/>
              </w:rPr>
            </w:pPr>
            <w:r>
              <w:rPr>
                <w:rFonts w:ascii="Arial" w:cs="Arial" w:eastAsia="Arial" w:hAnsi="Arial"/>
                <w:sz w:val="18"/>
                <w:szCs w:val="18"/>
                <w:color w:val="auto"/>
              </w:rPr>
              <w:t>Date: May 8, 2014</w:t>
            </w:r>
          </w:p>
        </w:tc>
        <w:tc>
          <w:tcPr>
            <w:tcW w:w="2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3160" w:type="dxa"/>
            <w:vAlign w:val="bottom"/>
            <w:gridSpan w:val="3"/>
          </w:tcPr>
          <w:p>
            <w:pPr>
              <w:ind w:left="120"/>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tcPr>
          <w:p>
            <w:pPr>
              <w:ind w:left="5920"/>
              <w:spacing w:after="0"/>
              <w:rPr>
                <w:sz w:val="20"/>
                <w:szCs w:val="20"/>
                <w:color w:val="auto"/>
              </w:rPr>
            </w:pPr>
            <w:r>
              <w:rPr>
                <w:rFonts w:ascii="Arial" w:cs="Arial" w:eastAsia="Arial" w:hAnsi="Arial"/>
                <w:sz w:val="18"/>
                <w:szCs w:val="18"/>
                <w:color w:val="auto"/>
              </w:rPr>
              <w:t>By:</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top w:val="single" w:sz="8" w:color="auto"/>
            </w:tcBorders>
            <w:gridSpan w:val="2"/>
          </w:tcPr>
          <w:p>
            <w:pPr>
              <w:ind w:left="280"/>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tcPr>
          <w:p>
            <w:pPr>
              <w:ind w:left="5920"/>
              <w:spacing w:after="0"/>
              <w:rPr>
                <w:sz w:val="20"/>
                <w:szCs w:val="20"/>
                <w:color w:val="auto"/>
              </w:rPr>
            </w:pPr>
            <w:r>
              <w:rPr>
                <w:rFonts w:ascii="Arial" w:cs="Arial" w:eastAsia="Arial" w:hAnsi="Arial"/>
                <w:sz w:val="18"/>
                <w:szCs w:val="18"/>
                <w:color w:val="auto"/>
              </w:rPr>
              <w:t>By:</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tcBorders>
              <w:top w:val="single" w:sz="8" w:color="auto"/>
            </w:tcBorders>
            <w:gridSpan w:val="2"/>
          </w:tcPr>
          <w:p>
            <w:pPr>
              <w:ind w:left="280"/>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gridSpan w:val="2"/>
          </w:tcPr>
          <w:p>
            <w:pPr>
              <w:jc w:val="center"/>
              <w:ind w:left="135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7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tcPr>
          <w:p>
            <w:pPr>
              <w:jc w:val="center"/>
              <w:ind w:left="1113"/>
              <w:spacing w:after="0"/>
              <w:rPr>
                <w:sz w:val="20"/>
                <w:szCs w:val="20"/>
                <w:color w:val="auto"/>
              </w:rPr>
            </w:pPr>
            <w:r>
              <w:rPr>
                <w:rFonts w:ascii="Arial" w:cs="Arial" w:eastAsia="Arial" w:hAnsi="Arial"/>
                <w:sz w:val="18"/>
                <w:szCs w:val="18"/>
                <w:b w:val="1"/>
                <w:bCs w:val="1"/>
                <w:color w:val="auto"/>
                <w:w w:val="99"/>
              </w:rPr>
              <w:t>NORTHEAST BANCORP</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tcPr>
          <w:p>
            <w:pPr>
              <w:jc w:val="center"/>
              <w:ind w:left="1133"/>
              <w:spacing w:after="0"/>
              <w:rPr>
                <w:sz w:val="20"/>
                <w:szCs w:val="20"/>
                <w:color w:val="auto"/>
              </w:rPr>
            </w:pPr>
            <w:r>
              <w:rPr>
                <w:rFonts w:ascii="Arial" w:cs="Arial" w:eastAsia="Arial" w:hAnsi="Arial"/>
                <w:sz w:val="18"/>
                <w:szCs w:val="18"/>
                <w:b w:val="1"/>
                <w:bCs w:val="1"/>
                <w:color w:val="auto"/>
                <w:w w:val="91"/>
              </w:rPr>
              <w:t>Index to Exhibits</w:t>
            </w: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20" w:type="dxa"/>
            <w:vAlign w:val="bottom"/>
            <w:gridSpan w:val="3"/>
          </w:tcPr>
          <w:p>
            <w:pPr>
              <w:ind w:left="660"/>
              <w:spacing w:after="0"/>
              <w:rPr>
                <w:sz w:val="20"/>
                <w:szCs w:val="20"/>
                <w:color w:val="auto"/>
              </w:rPr>
            </w:pPr>
            <w:r>
              <w:rPr>
                <w:rFonts w:ascii="Arial" w:cs="Arial" w:eastAsia="Arial" w:hAnsi="Arial"/>
                <w:sz w:val="14"/>
                <w:szCs w:val="14"/>
                <w:b w:val="1"/>
                <w:bCs w:val="1"/>
                <w:color w:val="auto"/>
              </w:rPr>
              <w:t>Exhibits</w:t>
            </w:r>
          </w:p>
        </w:tc>
        <w:tc>
          <w:tcPr>
            <w:tcW w:w="240" w:type="dxa"/>
            <w:vAlign w:val="bottom"/>
          </w:tcPr>
          <w:p>
            <w:pPr>
              <w:spacing w:after="0"/>
              <w:rPr>
                <w:sz w:val="24"/>
                <w:szCs w:val="24"/>
                <w:color w:val="auto"/>
              </w:rPr>
            </w:pPr>
          </w:p>
        </w:tc>
        <w:tc>
          <w:tcPr>
            <w:tcW w:w="630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gridSpan w:val="3"/>
          </w:tcPr>
          <w:p>
            <w:pPr>
              <w:ind w:left="660"/>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660" w:type="dxa"/>
            <w:vAlign w:val="bottom"/>
          </w:tcPr>
          <w:p>
            <w:pPr>
              <w:spacing w:after="0"/>
              <w:rPr>
                <w:sz w:val="24"/>
                <w:szCs w:val="24"/>
                <w:color w:val="auto"/>
              </w:rPr>
            </w:pPr>
          </w:p>
        </w:tc>
        <w:tc>
          <w:tcPr>
            <w:tcW w:w="10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3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Certification of the Chief Executive Officer pursuant to Section 302 of the Sarbanes-Oxley Act of 2002 (Rule 13a-14(a)). *</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31.2</w:t>
            </w:r>
          </w:p>
        </w:tc>
        <w:tc>
          <w:tcPr>
            <w:tcW w:w="9700" w:type="dxa"/>
            <w:vAlign w:val="bottom"/>
            <w:gridSpan w:val="5"/>
          </w:tcPr>
          <w:p>
            <w:pPr>
              <w:ind w:left="240"/>
              <w:spacing w:after="0"/>
              <w:rPr>
                <w:sz w:val="20"/>
                <w:szCs w:val="20"/>
                <w:color w:val="auto"/>
              </w:rPr>
            </w:pPr>
            <w:r>
              <w:rPr>
                <w:rFonts w:ascii="Arial" w:cs="Arial" w:eastAsia="Arial" w:hAnsi="Arial"/>
                <w:sz w:val="18"/>
                <w:szCs w:val="18"/>
                <w:color w:val="auto"/>
                <w:w w:val="98"/>
              </w:rPr>
              <w:t>Certification of the Chief Financial Officer pursuant to Section 302 of the Sarbanes-Oxley Act of 2002 (Rule 13a-14(a)).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32.1</w:t>
            </w:r>
          </w:p>
        </w:tc>
        <w:tc>
          <w:tcPr>
            <w:tcW w:w="9700" w:type="dxa"/>
            <w:vAlign w:val="bottom"/>
            <w:gridSpan w:val="5"/>
          </w:tcPr>
          <w:p>
            <w:pPr>
              <w:ind w:left="240"/>
              <w:spacing w:after="0"/>
              <w:rPr>
                <w:sz w:val="20"/>
                <w:szCs w:val="20"/>
                <w:color w:val="auto"/>
              </w:rPr>
            </w:pPr>
            <w:r>
              <w:rPr>
                <w:rFonts w:ascii="Arial" w:cs="Arial" w:eastAsia="Arial" w:hAnsi="Arial"/>
                <w:sz w:val="18"/>
                <w:szCs w:val="18"/>
                <w:color w:val="auto"/>
                <w:w w:val="99"/>
              </w:rPr>
              <w:t>Certificate of the Chief Executive Officer pursuant to 18 U.S.C. Section 1350, as adopted pursuant to Section 906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3"/>
          </w:tcPr>
          <w:p>
            <w:pPr>
              <w:jc w:val="right"/>
              <w:ind w:right="380"/>
              <w:spacing w:after="0"/>
              <w:rPr>
                <w:sz w:val="20"/>
                <w:szCs w:val="20"/>
                <w:color w:val="auto"/>
              </w:rPr>
            </w:pPr>
            <w:r>
              <w:rPr>
                <w:rFonts w:ascii="Arial" w:cs="Arial" w:eastAsia="Arial" w:hAnsi="Arial"/>
                <w:sz w:val="18"/>
                <w:szCs w:val="18"/>
                <w:color w:val="auto"/>
              </w:rPr>
              <w:t>32.2</w:t>
            </w:r>
          </w:p>
        </w:tc>
        <w:tc>
          <w:tcPr>
            <w:tcW w:w="9700" w:type="dxa"/>
            <w:vAlign w:val="bottom"/>
            <w:gridSpan w:val="5"/>
          </w:tcPr>
          <w:p>
            <w:pPr>
              <w:ind w:left="240"/>
              <w:spacing w:after="0"/>
              <w:rPr>
                <w:sz w:val="20"/>
                <w:szCs w:val="20"/>
                <w:color w:val="auto"/>
              </w:rPr>
            </w:pPr>
            <w:r>
              <w:rPr>
                <w:rFonts w:ascii="Arial" w:cs="Arial" w:eastAsia="Arial" w:hAnsi="Arial"/>
                <w:sz w:val="18"/>
                <w:szCs w:val="18"/>
                <w:color w:val="auto"/>
                <w:w w:val="99"/>
              </w:rPr>
              <w:t>Certificate of the Chief Financial Officer pursuant to 18 U.S.C. Section 1350, as adopted pursuant to Section 906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540" w:type="dxa"/>
            <w:vAlign w:val="bottom"/>
            <w:gridSpan w:val="2"/>
          </w:tcPr>
          <w:p>
            <w:pPr>
              <w:ind w:left="240"/>
              <w:spacing w:after="0"/>
              <w:rPr>
                <w:sz w:val="20"/>
                <w:szCs w:val="20"/>
                <w:color w:val="auto"/>
              </w:rPr>
            </w:pPr>
            <w:r>
              <w:rPr>
                <w:rFonts w:ascii="Arial" w:cs="Arial" w:eastAsia="Arial" w:hAnsi="Arial"/>
                <w:sz w:val="18"/>
                <w:szCs w:val="18"/>
                <w:color w:val="auto"/>
              </w:rPr>
              <w:t>Sarbanes-Oxley Act of 2002 (Rule 13a-14(b)). **</w:t>
            </w: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200" w:hanging="905"/>
        <w:spacing w:after="0" w:line="270"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March 31, 2014 formatted in XBRL: (i) Consolidated Balance Sheets at March 31, 2014 and June 30, 2013; (ii) Consolidated Statements of Income for the three and nine months ended March 31, 2014 and 2013; (iii) Consolidated Statements of Comprehensive Income for the three and nine months ended March 31, 2014 and 2013; (iv) Consolidated Statements of Changes in Shareholders’ Equity for the nine months ended March 31, 2014 and 2013; (v) Consolidated Statements of Cash Flows for the nine months ended March 31, 2014 and 2013; and (v) Notes to Unaudited Consolidated Financial Statements. ***</w:t>
      </w:r>
    </w:p>
    <w:p>
      <w:pPr>
        <w:spacing w:after="0" w:line="200" w:lineRule="exact"/>
        <w:rPr>
          <w:rFonts w:ascii="Arial" w:cs="Arial" w:eastAsia="Arial" w:hAnsi="Arial"/>
          <w:sz w:val="17"/>
          <w:szCs w:val="17"/>
          <w:color w:val="auto"/>
        </w:rPr>
      </w:pP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7"/>
          <w:szCs w:val="17"/>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80" w:hanging="8"/>
        <w:spacing w:after="0" w:line="264" w:lineRule="auto"/>
        <w:tabs>
          <w:tab w:leader="none" w:pos="6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00" w:hanging="8"/>
        <w:spacing w:after="0" w:line="264" w:lineRule="auto"/>
        <w:tabs>
          <w:tab w:leader="none" w:pos="5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120" w:hanging="8"/>
        <w:spacing w:after="0" w:line="308" w:lineRule="auto"/>
        <w:tabs>
          <w:tab w:leader="none" w:pos="63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140" w:hanging="8"/>
        <w:spacing w:after="0" w:line="264"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0" w:hanging="8"/>
        <w:spacing w:after="0" w:line="277" w:lineRule="auto"/>
        <w:tabs>
          <w:tab w:leader="none" w:pos="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80" w:hanging="8"/>
        <w:spacing w:after="0" w:line="277" w:lineRule="auto"/>
        <w:tabs>
          <w:tab w:leader="none" w:pos="6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Richard Wayne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80" w:hanging="8"/>
        <w:spacing w:after="0" w:line="264" w:lineRule="auto"/>
        <w:tabs>
          <w:tab w:leader="none" w:pos="6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00" w:hanging="8"/>
        <w:spacing w:after="0" w:line="264" w:lineRule="auto"/>
        <w:tabs>
          <w:tab w:leader="none" w:pos="5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120" w:hanging="8"/>
        <w:spacing w:after="0" w:line="308" w:lineRule="auto"/>
        <w:tabs>
          <w:tab w:leader="none" w:pos="63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140" w:hanging="8"/>
        <w:spacing w:after="0" w:line="264" w:lineRule="auto"/>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40" w:hanging="8"/>
        <w:spacing w:after="0" w:line="277" w:lineRule="auto"/>
        <w:tabs>
          <w:tab w:leader="none" w:pos="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80" w:hanging="8"/>
        <w:spacing w:after="0" w:line="277" w:lineRule="auto"/>
        <w:tabs>
          <w:tab w:leader="none" w:pos="63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Claire S. Bean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2014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960" w:hanging="304"/>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60" w:hanging="4"/>
        <w:spacing w:after="0" w:line="277" w:lineRule="auto"/>
        <w:tabs>
          <w:tab w:leader="none" w:pos="9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Richard Wayne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2014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60" w:hanging="4"/>
        <w:spacing w:after="0" w:line="277" w:lineRule="auto"/>
        <w:tabs>
          <w:tab w:leader="none" w:pos="9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8, 2014</w:t>
      </w:r>
      <w:r>
        <w:rPr>
          <w:sz w:val="20"/>
          <w:szCs w:val="20"/>
          <w:color w:val="auto"/>
        </w:rPr>
        <w:tab/>
      </w:r>
      <w:r>
        <w:rPr>
          <w:rFonts w:ascii="Arial" w:cs="Arial" w:eastAsia="Arial" w:hAnsi="Arial"/>
          <w:sz w:val="16"/>
          <w:szCs w:val="16"/>
          <w:color w:val="auto"/>
        </w:rPr>
        <w:t>/s/ Claire S. Bean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Claire S. 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lowerRoman"/>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5"/>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decimal"/>
      <w:start w:val="9"/>
    </w:lvl>
  </w:abstractNum>
  <w:abstractNum w:abstractNumId="13">
    <w:nsid w:val="8EDBDAB"/>
    <w:multiLevelType w:val="hybridMultilevel"/>
    <w:lvl w:ilvl="0">
      <w:lvlJc w:val="left"/>
      <w:lvlText w:val="%1."/>
      <w:numFmt w:val="decimal"/>
      <w:start w:val="10"/>
    </w:lvl>
  </w:abstractNum>
  <w:abstractNum w:abstractNumId="14">
    <w:nsid w:val="79838CB2"/>
    <w:multiLevelType w:val="hybridMultilevel"/>
    <w:lvl w:ilvl="0">
      <w:lvlJc w:val="left"/>
      <w:lvlText w:val="%1."/>
      <w:numFmt w:val="decimal"/>
      <w:start w:val="1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0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lvl w:ilvl="1">
      <w:lvlJc w:val="left"/>
      <w:lvlText w:val="%2"/>
      <w:numFmt w:val="decimal"/>
      <w:start w:val="101"/>
    </w:lvl>
  </w:abstractNum>
  <w:abstractNum w:abstractNumId="29">
    <w:nsid w:val="22221A70"/>
    <w:multiLevelType w:val="hybridMultilevel"/>
    <w:lvl w:ilvl="0">
      <w:lvlJc w:val="left"/>
      <w:lvlText w:val="**"/>
      <w:numFmt w:val="bullet"/>
      <w:start w:val="1"/>
    </w:lvl>
    <w:lvl w:ilvl="1">
      <w:lvlJc w:val="left"/>
      <w:lvlText w:val="%2"/>
      <w:numFmt w:val="decimal"/>
      <w:start w:val="1"/>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2019-12-05T23:13:22Z</dcterms:created>
  <dcterms:modified xsi:type="dcterms:W3CDTF">2019-12-05T23:13:22Z</dcterms:modified>
</cp:coreProperties>
</file>